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7D0B76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520402">
        <w:rPr>
          <w:bCs/>
          <w:noProof w:val="0"/>
          <w:sz w:val="24"/>
          <w:szCs w:val="24"/>
        </w:rPr>
        <w:t>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9B0EA2">
        <w:rPr>
          <w:bCs/>
          <w:noProof w:val="0"/>
          <w:sz w:val="24"/>
          <w:szCs w:val="24"/>
        </w:rPr>
        <w:t>5880</w:t>
      </w:r>
    </w:p>
    <w:p w14:paraId="11776FA6" w14:textId="6E2EA18E" w:rsidR="00A209D6" w:rsidRPr="00465587" w:rsidRDefault="00520402" w:rsidP="00A209D6">
      <w:pPr>
        <w:pStyle w:val="Header"/>
        <w:tabs>
          <w:tab w:val="right" w:pos="9639"/>
        </w:tabs>
        <w:rPr>
          <w:rFonts w:eastAsia="SimSun"/>
          <w:bCs/>
          <w:sz w:val="24"/>
          <w:szCs w:val="24"/>
          <w:lang w:eastAsia="zh-CN"/>
        </w:rPr>
      </w:pPr>
      <w:r>
        <w:rPr>
          <w:rFonts w:eastAsia="SimSun"/>
          <w:bCs/>
          <w:sz w:val="24"/>
          <w:szCs w:val="24"/>
          <w:lang w:eastAsia="zh-CN"/>
        </w:rPr>
        <w:t>Incheon, South Korea</w:t>
      </w:r>
      <w:r w:rsidR="003D0FD0" w:rsidRPr="001672AE">
        <w:rPr>
          <w:rFonts w:eastAsia="SimSun"/>
          <w:bCs/>
          <w:sz w:val="24"/>
          <w:szCs w:val="24"/>
          <w:lang w:eastAsia="zh-CN"/>
        </w:rPr>
        <w:t xml:space="preserve">, </w:t>
      </w:r>
      <w:r>
        <w:rPr>
          <w:rFonts w:eastAsia="SimSun"/>
          <w:bCs/>
          <w:sz w:val="24"/>
          <w:szCs w:val="24"/>
          <w:lang w:eastAsia="zh-CN"/>
        </w:rPr>
        <w:t>22</w:t>
      </w:r>
      <w:r w:rsidRPr="00E9134B">
        <w:rPr>
          <w:rFonts w:eastAsia="SimSun"/>
          <w:bCs/>
          <w:sz w:val="24"/>
          <w:szCs w:val="24"/>
          <w:vertAlign w:val="superscript"/>
          <w:lang w:eastAsia="zh-CN"/>
        </w:rPr>
        <w:t>nd</w:t>
      </w:r>
      <w:r>
        <w:rPr>
          <w:rFonts w:eastAsia="SimSun"/>
          <w:bCs/>
          <w:sz w:val="24"/>
          <w:szCs w:val="24"/>
          <w:lang w:eastAsia="zh-CN"/>
        </w:rPr>
        <w:t xml:space="preserve"> -26</w:t>
      </w:r>
      <w:r w:rsidRPr="00E9134B">
        <w:rPr>
          <w:rFonts w:eastAsia="SimSun"/>
          <w:bCs/>
          <w:sz w:val="24"/>
          <w:szCs w:val="24"/>
          <w:vertAlign w:val="superscript"/>
          <w:lang w:eastAsia="zh-CN"/>
        </w:rPr>
        <w:t>th</w:t>
      </w:r>
      <w:r>
        <w:rPr>
          <w:rFonts w:eastAsia="SimSun"/>
          <w:bCs/>
          <w:sz w:val="24"/>
          <w:szCs w:val="24"/>
          <w:lang w:eastAsia="zh-CN"/>
        </w:rPr>
        <w:t xml:space="preserve"> of May</w:t>
      </w:r>
      <w:r w:rsidR="003D0FD0" w:rsidRPr="001672AE">
        <w:rPr>
          <w:rFonts w:eastAsia="SimSun"/>
          <w:bCs/>
          <w:sz w:val="24"/>
          <w:szCs w:val="24"/>
          <w:lang w:eastAsia="zh-CN"/>
        </w:rPr>
        <w:t xml:space="preserve"> 202</w:t>
      </w:r>
      <w:r w:rsidR="003D0FD0">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B5472F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6493B">
        <w:rPr>
          <w:rFonts w:cs="Arial"/>
          <w:b/>
          <w:bCs/>
          <w:sz w:val="24"/>
          <w:lang w:eastAsia="ja-JP"/>
        </w:rPr>
        <w:t>7.4.2.2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D17B17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06A5A" w:rsidRPr="00406A5A">
        <w:rPr>
          <w:rFonts w:ascii="Arial" w:hAnsi="Arial" w:cs="Arial"/>
          <w:b/>
          <w:bCs/>
          <w:sz w:val="24"/>
        </w:rPr>
        <w:t xml:space="preserve">On </w:t>
      </w:r>
      <w:r w:rsidR="00460EFC">
        <w:rPr>
          <w:rFonts w:ascii="Arial" w:hAnsi="Arial" w:cs="Arial"/>
          <w:b/>
          <w:bCs/>
          <w:sz w:val="24"/>
        </w:rPr>
        <w:t>Reference, Delta and Validity Check for LTM Configuration</w:t>
      </w:r>
    </w:p>
    <w:p w14:paraId="25F387E8" w14:textId="1D145FA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C6304" w:rsidRPr="00BC6304">
        <w:rPr>
          <w:rFonts w:ascii="Arial" w:hAnsi="Arial" w:cs="Arial"/>
          <w:b/>
          <w:bCs/>
          <w:sz w:val="24"/>
        </w:rPr>
        <w:t xml:space="preserve">NR_Mob_enh2-Core </w:t>
      </w:r>
      <w:r>
        <w:rPr>
          <w:rFonts w:ascii="Arial" w:hAnsi="Arial" w:cs="Arial"/>
          <w:b/>
          <w:bCs/>
          <w:sz w:val="24"/>
        </w:rPr>
        <w:t xml:space="preserve">- Release </w:t>
      </w:r>
      <w:r w:rsidR="00E62356">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6912591F" w:rsidR="00A209D6" w:rsidRDefault="00A209D6" w:rsidP="00A209D6">
      <w:pPr>
        <w:pStyle w:val="Heading1"/>
      </w:pPr>
      <w:r w:rsidRPr="006E13D1">
        <w:t>1</w:t>
      </w:r>
      <w:r w:rsidRPr="006E13D1">
        <w:tab/>
      </w:r>
      <w:r>
        <w:t>Introduction</w:t>
      </w:r>
    </w:p>
    <w:p w14:paraId="1CE99B62" w14:textId="01C63879" w:rsidR="00CA5F51" w:rsidRPr="005E4D07" w:rsidRDefault="00CA5F51" w:rsidP="00CA5F51">
      <w:pPr>
        <w:rPr>
          <w:lang w:val="en-US"/>
        </w:rPr>
      </w:pPr>
      <w:r w:rsidRPr="005E4D07">
        <w:rPr>
          <w:lang w:val="en-US"/>
        </w:rPr>
        <w:t xml:space="preserve">According to the agreements from </w:t>
      </w:r>
      <w:r w:rsidR="00B256DC">
        <w:rPr>
          <w:lang w:val="en-US"/>
        </w:rPr>
        <w:t>RAN2#121</w:t>
      </w:r>
      <w:r w:rsidR="001947DC">
        <w:rPr>
          <w:lang w:val="en-US"/>
        </w:rPr>
        <w:t xml:space="preserve"> [1]</w:t>
      </w:r>
      <w:r w:rsidR="00B256DC">
        <w:rPr>
          <w:lang w:val="en-US"/>
        </w:rPr>
        <w:t xml:space="preserve"> and </w:t>
      </w:r>
      <w:r w:rsidRPr="005E4D07">
        <w:rPr>
          <w:lang w:val="en-US"/>
        </w:rPr>
        <w:t>R</w:t>
      </w:r>
      <w:r>
        <w:rPr>
          <w:lang w:val="en-US"/>
        </w:rPr>
        <w:t>AN</w:t>
      </w:r>
      <w:r w:rsidRPr="005E4D07">
        <w:rPr>
          <w:lang w:val="en-US"/>
        </w:rPr>
        <w:t>2</w:t>
      </w:r>
      <w:r>
        <w:rPr>
          <w:lang w:val="en-US"/>
        </w:rPr>
        <w:t>#</w:t>
      </w:r>
      <w:r w:rsidRPr="005E4D07">
        <w:rPr>
          <w:lang w:val="en-US"/>
        </w:rPr>
        <w:t>12</w:t>
      </w:r>
      <w:r>
        <w:rPr>
          <w:lang w:val="en-US"/>
        </w:rPr>
        <w:t>1</w:t>
      </w:r>
      <w:r w:rsidR="00B256DC">
        <w:rPr>
          <w:lang w:val="en-US"/>
        </w:rPr>
        <w:t>bis</w:t>
      </w:r>
      <w:r w:rsidRPr="005E4D07">
        <w:rPr>
          <w:lang w:val="en-US"/>
        </w:rPr>
        <w:t xml:space="preserve"> [</w:t>
      </w:r>
      <w:r w:rsidR="001947DC">
        <w:rPr>
          <w:lang w:val="en-US"/>
        </w:rPr>
        <w:t>2</w:t>
      </w:r>
      <w:r w:rsidRPr="005E4D07">
        <w:rPr>
          <w:lang w:val="en-US"/>
        </w:rPr>
        <w:t>]:</w:t>
      </w:r>
    </w:p>
    <w:tbl>
      <w:tblPr>
        <w:tblStyle w:val="TableGrid"/>
        <w:tblW w:w="0" w:type="auto"/>
        <w:tblLook w:val="04A0" w:firstRow="1" w:lastRow="0" w:firstColumn="1" w:lastColumn="0" w:noHBand="0" w:noVBand="1"/>
      </w:tblPr>
      <w:tblGrid>
        <w:gridCol w:w="9631"/>
      </w:tblGrid>
      <w:tr w:rsidR="00CA5F51" w14:paraId="5614EC9D" w14:textId="77777777" w:rsidTr="00CA5F51">
        <w:tc>
          <w:tcPr>
            <w:tcW w:w="9631" w:type="dxa"/>
          </w:tcPr>
          <w:p w14:paraId="400FE7C6" w14:textId="2C8B57F5" w:rsidR="00B256DC" w:rsidRPr="00B256DC" w:rsidRDefault="00B256DC" w:rsidP="00B256DC">
            <w:pPr>
              <w:pStyle w:val="Agreement"/>
              <w:numPr>
                <w:ilvl w:val="0"/>
                <w:numId w:val="0"/>
              </w:numPr>
              <w:jc w:val="both"/>
              <w:rPr>
                <w:bCs/>
                <w:lang w:val="en-US"/>
              </w:rPr>
            </w:pPr>
            <w:r>
              <w:rPr>
                <w:bCs/>
                <w:lang w:val="en-US"/>
              </w:rPr>
              <w:t>RAN2#121</w:t>
            </w:r>
          </w:p>
          <w:p w14:paraId="1837B92E" w14:textId="2CC7D6EE" w:rsidR="00CA5F51" w:rsidRDefault="00CA5F51" w:rsidP="00DD4FF4">
            <w:pPr>
              <w:pStyle w:val="Doc-text2"/>
              <w:jc w:val="both"/>
              <w:rPr>
                <w:lang w:val="en-US"/>
              </w:rPr>
            </w:pPr>
          </w:p>
          <w:p w14:paraId="07C2DD5A" w14:textId="77777777" w:rsidR="00CA5F51" w:rsidRPr="00782DC3" w:rsidRDefault="00CA5F51" w:rsidP="00DD4FF4">
            <w:pPr>
              <w:pStyle w:val="Agreement"/>
              <w:ind w:left="928"/>
              <w:jc w:val="both"/>
              <w:rPr>
                <w:lang w:val="en-US"/>
              </w:rPr>
            </w:pPr>
            <w:r w:rsidRPr="00782DC3">
              <w:rPr>
                <w:lang w:val="en-US"/>
              </w:rPr>
              <w:t>Reference config can be empty</w:t>
            </w:r>
          </w:p>
          <w:p w14:paraId="59B277E5" w14:textId="77777777" w:rsidR="00CA5F51" w:rsidRPr="00782DC3" w:rsidRDefault="00CA5F51" w:rsidP="00DD4FF4">
            <w:pPr>
              <w:pStyle w:val="Agreement"/>
              <w:ind w:left="928"/>
              <w:jc w:val="both"/>
              <w:rPr>
                <w:lang w:val="en-US"/>
              </w:rPr>
            </w:pPr>
            <w:r w:rsidRPr="00782DC3">
              <w:rPr>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436B23B1" w14:textId="179B8161" w:rsidR="00CA5F51" w:rsidRDefault="00CA5F51" w:rsidP="00DD4FF4">
            <w:pPr>
              <w:pStyle w:val="Agreement"/>
              <w:ind w:left="928"/>
              <w:jc w:val="both"/>
              <w:rPr>
                <w:lang w:val="en-US"/>
              </w:rPr>
            </w:pPr>
            <w:r w:rsidRPr="00C52452">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CA5F51">
              <w:rPr>
                <w:lang w:val="en-US"/>
              </w:rPr>
              <w:t xml:space="preserve">FFS whether we can rely on a modified version of the reconfiguration procedure with </w:t>
            </w:r>
            <w:proofErr w:type="spellStart"/>
            <w:r w:rsidRPr="00CA5F51">
              <w:rPr>
                <w:lang w:val="en-US"/>
              </w:rPr>
              <w:t>fullconfig</w:t>
            </w:r>
            <w:proofErr w:type="spellEnd"/>
            <w:r w:rsidRPr="00CA5F51">
              <w:rPr>
                <w:lang w:val="en-US"/>
              </w:rPr>
              <w:t xml:space="preserve"> flag set. FFS how to make sure the procedures work in case the LTM candidate configuration is a complete configuration.</w:t>
            </w:r>
          </w:p>
          <w:p w14:paraId="43BF1EF6" w14:textId="16138A1A" w:rsidR="00B256DC" w:rsidRDefault="00B256DC" w:rsidP="00B256DC">
            <w:pPr>
              <w:pStyle w:val="Doc-text2"/>
              <w:rPr>
                <w:lang w:val="en-US"/>
              </w:rPr>
            </w:pPr>
          </w:p>
          <w:p w14:paraId="21B2A25F" w14:textId="6620C5ED" w:rsidR="00B256DC" w:rsidRPr="00B256DC" w:rsidRDefault="00B256DC" w:rsidP="00B256DC">
            <w:pPr>
              <w:pStyle w:val="Agreement"/>
              <w:numPr>
                <w:ilvl w:val="0"/>
                <w:numId w:val="0"/>
              </w:numPr>
              <w:jc w:val="both"/>
              <w:rPr>
                <w:bCs/>
                <w:lang w:val="en-US"/>
              </w:rPr>
            </w:pPr>
            <w:r>
              <w:rPr>
                <w:bCs/>
                <w:lang w:val="en-US"/>
              </w:rPr>
              <w:t>RAN2#121bis</w:t>
            </w:r>
          </w:p>
          <w:p w14:paraId="68999DBD" w14:textId="77777777" w:rsidR="00B256DC" w:rsidRPr="00B256DC" w:rsidRDefault="00B256DC" w:rsidP="00B256DC">
            <w:pPr>
              <w:pStyle w:val="Agreement"/>
              <w:ind w:left="928"/>
              <w:jc w:val="both"/>
              <w:rPr>
                <w:lang w:val="en-US"/>
              </w:rPr>
            </w:pPr>
            <w:r w:rsidRPr="00B256DC">
              <w:rPr>
                <w:lang w:val="en-US"/>
              </w:rPr>
              <w:t xml:space="preserve">Discuss terminology for the TS in the RRC stage-3 discussions when/if needed (not at current meeting). </w:t>
            </w:r>
          </w:p>
          <w:p w14:paraId="68455C4F" w14:textId="77777777" w:rsidR="00B256DC" w:rsidRPr="00782DC3" w:rsidRDefault="00B256DC" w:rsidP="00B256DC">
            <w:pPr>
              <w:pStyle w:val="Agreement"/>
              <w:ind w:left="928"/>
              <w:jc w:val="both"/>
              <w:rPr>
                <w:lang w:val="en-US"/>
              </w:rPr>
            </w:pPr>
            <w:r w:rsidRPr="00782DC3">
              <w:rPr>
                <w:lang w:val="en-US"/>
              </w:rPr>
              <w:t xml:space="preserve">Whether the Reference configuration is a complete configuration or not is up to the network implementation. </w:t>
            </w:r>
          </w:p>
          <w:p w14:paraId="47F33E2E" w14:textId="77777777" w:rsidR="00B256DC" w:rsidRPr="00782DC3" w:rsidRDefault="00B256DC" w:rsidP="00B256DC">
            <w:pPr>
              <w:pStyle w:val="Agreement"/>
              <w:ind w:left="928"/>
              <w:jc w:val="both"/>
              <w:rPr>
                <w:lang w:val="en-US"/>
              </w:rPr>
            </w:pPr>
            <w:r w:rsidRPr="00782DC3">
              <w:rPr>
                <w:lang w:val="en-US"/>
              </w:rPr>
              <w:t xml:space="preserve">Reference configuration + LTM candidate configuration (in combination) has to be a complete configuration. </w:t>
            </w:r>
          </w:p>
          <w:p w14:paraId="59A551BC" w14:textId="77777777" w:rsidR="00B256DC" w:rsidRPr="00B256DC" w:rsidRDefault="00B256DC" w:rsidP="00B256DC">
            <w:pPr>
              <w:pStyle w:val="Agreement"/>
              <w:ind w:left="928"/>
              <w:jc w:val="both"/>
              <w:rPr>
                <w:lang w:val="en-US"/>
              </w:rPr>
            </w:pPr>
            <w:r w:rsidRPr="00B256DC">
              <w:rPr>
                <w:lang w:val="en-US"/>
              </w:rPr>
              <w:t xml:space="preserve">The reference configuration is always explicitly </w:t>
            </w:r>
            <w:proofErr w:type="spellStart"/>
            <w:r w:rsidRPr="00B256DC">
              <w:rPr>
                <w:lang w:val="en-US"/>
              </w:rPr>
              <w:t>signalled</w:t>
            </w:r>
            <w:proofErr w:type="spellEnd"/>
            <w:r w:rsidRPr="00B256DC">
              <w:rPr>
                <w:lang w:val="en-US"/>
              </w:rPr>
              <w:t xml:space="preserve"> (not automatically derived from any other config, e.g. current).</w:t>
            </w:r>
          </w:p>
          <w:p w14:paraId="363D9022" w14:textId="77777777" w:rsidR="00B256DC" w:rsidRPr="00B256DC" w:rsidRDefault="00B256DC" w:rsidP="00B256DC">
            <w:pPr>
              <w:pStyle w:val="Agreement"/>
              <w:ind w:left="928"/>
              <w:jc w:val="both"/>
              <w:rPr>
                <w:lang w:val="en-US"/>
              </w:rPr>
            </w:pPr>
            <w:r w:rsidRPr="00B256DC">
              <w:rPr>
                <w:lang w:val="en-US"/>
              </w:rPr>
              <w:t xml:space="preserve">Confirm that only the replacement procedure (the “full config without L2 reset”) is supported for Execution of LTM cell switch. </w:t>
            </w:r>
          </w:p>
          <w:p w14:paraId="72CF4556" w14:textId="2DFAD37C" w:rsidR="00B256DC" w:rsidRPr="00B256DC" w:rsidRDefault="00B256DC" w:rsidP="00B256DC">
            <w:pPr>
              <w:pStyle w:val="Agreement"/>
              <w:ind w:left="928"/>
              <w:jc w:val="both"/>
              <w:rPr>
                <w:lang w:val="en-US"/>
              </w:rPr>
            </w:pPr>
            <w:r w:rsidRPr="00B256DC">
              <w:rPr>
                <w:lang w:val="en-US"/>
              </w:rPr>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B256DC">
              <w:rPr>
                <w:lang w:val="en-US"/>
              </w:rPr>
              <w:t>impl</w:t>
            </w:r>
            <w:proofErr w:type="spellEnd"/>
            <w:r w:rsidRPr="00B256DC">
              <w:rPr>
                <w:lang w:val="en-US"/>
              </w:rPr>
              <w:t xml:space="preserve">, FFS if other </w:t>
            </w:r>
            <w:proofErr w:type="spellStart"/>
            <w:r w:rsidRPr="00B256DC">
              <w:rPr>
                <w:lang w:val="en-US"/>
              </w:rPr>
              <w:t>signalling</w:t>
            </w:r>
            <w:proofErr w:type="spellEnd"/>
            <w:r w:rsidRPr="00B256DC">
              <w:rPr>
                <w:lang w:val="en-US"/>
              </w:rPr>
              <w:t xml:space="preserve"> to notify network is needed. </w:t>
            </w:r>
          </w:p>
          <w:p w14:paraId="06A5CCE8" w14:textId="77777777" w:rsidR="00B256DC" w:rsidRPr="00B256DC" w:rsidRDefault="00B256DC" w:rsidP="00B256DC">
            <w:pPr>
              <w:pStyle w:val="Doc-text2"/>
              <w:ind w:left="0" w:firstLine="0"/>
            </w:pPr>
          </w:p>
          <w:p w14:paraId="0CA94DA8" w14:textId="5547ED65" w:rsidR="00CA5F51" w:rsidRPr="00CA5F51" w:rsidRDefault="00CA5F51" w:rsidP="00DD4FF4">
            <w:pPr>
              <w:pStyle w:val="Doc-text2"/>
              <w:jc w:val="both"/>
              <w:rPr>
                <w:lang w:val="en-US"/>
              </w:rPr>
            </w:pPr>
          </w:p>
        </w:tc>
      </w:tr>
    </w:tbl>
    <w:p w14:paraId="01D4BE4D" w14:textId="0489CB7A" w:rsidR="00CA5F51" w:rsidRPr="00792568" w:rsidRDefault="00E62356" w:rsidP="00745EBB">
      <w:r>
        <w:rPr>
          <w:lang w:val="en-US"/>
        </w:rPr>
        <w:br/>
      </w:r>
      <w:r w:rsidR="00CA5F51" w:rsidRPr="00745EBB">
        <w:rPr>
          <w:lang w:val="en-US"/>
        </w:rPr>
        <w:t xml:space="preserve">This document discusses the aspects of the RRC Reconfiguration </w:t>
      </w:r>
      <w:r w:rsidR="003E3B56" w:rsidRPr="00745EBB">
        <w:rPr>
          <w:lang w:val="en-US"/>
        </w:rPr>
        <w:t>for LTM</w:t>
      </w:r>
      <w:r w:rsidR="0080400F" w:rsidRPr="00745EBB">
        <w:rPr>
          <w:lang w:val="en-US"/>
        </w:rPr>
        <w:t>, with a particular focus</w:t>
      </w:r>
      <w:r w:rsidR="00CA5F51" w:rsidRPr="00745EBB">
        <w:rPr>
          <w:lang w:val="en-US"/>
        </w:rPr>
        <w:t xml:space="preserve"> on how reference and delta configuration should be configured</w:t>
      </w:r>
      <w:r w:rsidR="008A1FE0" w:rsidRPr="00745EBB">
        <w:rPr>
          <w:lang w:val="en-US"/>
        </w:rPr>
        <w:t xml:space="preserve"> as well as </w:t>
      </w:r>
      <w:r w:rsidR="007133E1" w:rsidRPr="00745EBB">
        <w:rPr>
          <w:lang w:val="en-US"/>
        </w:rPr>
        <w:t xml:space="preserve">early validity check and </w:t>
      </w:r>
      <w:r w:rsidR="00745EBB" w:rsidRPr="00745EBB">
        <w:rPr>
          <w:lang w:val="en-US"/>
        </w:rPr>
        <w:t>relevant procedures in case of failure</w:t>
      </w:r>
      <w:r w:rsidR="00CA5F51" w:rsidRPr="00745EBB">
        <w:rPr>
          <w:lang w:val="en-US"/>
        </w:rPr>
        <w:t>.</w:t>
      </w:r>
      <w:r w:rsidR="00CA5F51" w:rsidRPr="00CA5F51">
        <w:rPr>
          <w:lang w:val="en-US"/>
        </w:rPr>
        <w:t xml:space="preserve"> </w:t>
      </w:r>
    </w:p>
    <w:p w14:paraId="7D484B6E" w14:textId="46DB1343" w:rsidR="009339CB" w:rsidRPr="006E13D1" w:rsidRDefault="009339CB" w:rsidP="009339CB">
      <w:pPr>
        <w:pStyle w:val="Heading1"/>
      </w:pPr>
      <w:r>
        <w:t>2</w:t>
      </w:r>
      <w:r>
        <w:tab/>
      </w:r>
      <w:r w:rsidR="00CA5F51">
        <w:t>Target Cell RRC Configuration Provision in LTM</w:t>
      </w:r>
    </w:p>
    <w:p w14:paraId="28D6E63A" w14:textId="28E52E31" w:rsidR="00C32DB4" w:rsidRDefault="009339CB" w:rsidP="00C32DB4">
      <w:pPr>
        <w:pStyle w:val="Heading2"/>
      </w:pPr>
      <w:r>
        <w:t>2</w:t>
      </w:r>
      <w:r w:rsidRPr="006E13D1">
        <w:t>.</w:t>
      </w:r>
      <w:r w:rsidR="00B256DC">
        <w:t>1</w:t>
      </w:r>
      <w:r w:rsidRPr="006E13D1">
        <w:tab/>
      </w:r>
      <w:r w:rsidR="00C32DB4">
        <w:t xml:space="preserve">RRC Reconfiguration Options Considering availability </w:t>
      </w:r>
      <w:r w:rsidR="00457505">
        <w:t xml:space="preserve">Of </w:t>
      </w:r>
      <w:r w:rsidR="00C32DB4">
        <w:t>Reference</w:t>
      </w:r>
    </w:p>
    <w:p w14:paraId="0B4F7247" w14:textId="7E6F889A" w:rsidR="00921DD1" w:rsidRDefault="00921DD1" w:rsidP="00921DD1">
      <w:pPr>
        <w:pStyle w:val="Heading3"/>
      </w:pPr>
      <w:r>
        <w:t>2.</w:t>
      </w:r>
      <w:r w:rsidR="008B1AC6">
        <w:t>1</w:t>
      </w:r>
      <w:r>
        <w:t xml:space="preserve">.1 Reference Configuration is </w:t>
      </w:r>
      <w:r w:rsidR="006E4DCA">
        <w:t xml:space="preserve">a </w:t>
      </w:r>
      <w:r>
        <w:t xml:space="preserve">non-empty configuration </w:t>
      </w:r>
    </w:p>
    <w:p w14:paraId="76BCCEAE" w14:textId="0F4F2CF6" w:rsidR="00C32DB4" w:rsidRDefault="00C32DB4" w:rsidP="002F6666">
      <w:pPr>
        <w:jc w:val="both"/>
        <w:rPr>
          <w:lang w:val="en-US"/>
        </w:rPr>
      </w:pPr>
      <w:r>
        <w:t xml:space="preserve">At the time of the LTM preparation the source cell provides to the UE the Reference </w:t>
      </w:r>
      <w:r w:rsidR="005E28E9">
        <w:t>c</w:t>
      </w:r>
      <w:r>
        <w:t xml:space="preserve">onfiguration and the </w:t>
      </w:r>
      <w:r w:rsidR="009874C8">
        <w:t xml:space="preserve">target cell </w:t>
      </w:r>
      <w:r>
        <w:t xml:space="preserve">configurations </w:t>
      </w:r>
      <w:r w:rsidR="009874C8">
        <w:t>(which can be delta or not)</w:t>
      </w:r>
      <w:r>
        <w:t xml:space="preserve"> of the prepared target cells. As agreed in </w:t>
      </w:r>
      <w:r w:rsidR="00D764AE" w:rsidRPr="005E4D07">
        <w:rPr>
          <w:lang w:val="en-US"/>
        </w:rPr>
        <w:t>R</w:t>
      </w:r>
      <w:r w:rsidR="00D764AE">
        <w:rPr>
          <w:lang w:val="en-US"/>
        </w:rPr>
        <w:t>AN</w:t>
      </w:r>
      <w:r w:rsidR="00D764AE" w:rsidRPr="005E4D07">
        <w:rPr>
          <w:lang w:val="en-US"/>
        </w:rPr>
        <w:t>2</w:t>
      </w:r>
      <w:r w:rsidR="00D764AE">
        <w:rPr>
          <w:lang w:val="en-US"/>
        </w:rPr>
        <w:t>#</w:t>
      </w:r>
      <w:r w:rsidR="00D764AE" w:rsidRPr="005E4D07">
        <w:rPr>
          <w:lang w:val="en-US"/>
        </w:rPr>
        <w:t>12</w:t>
      </w:r>
      <w:r w:rsidR="00D764AE">
        <w:rPr>
          <w:lang w:val="en-US"/>
        </w:rPr>
        <w:t>1</w:t>
      </w:r>
      <w:r w:rsidR="00D764AE" w:rsidRPr="005E4D07">
        <w:rPr>
          <w:lang w:val="en-US"/>
        </w:rPr>
        <w:t xml:space="preserve"> [1]</w:t>
      </w:r>
      <w:r w:rsidR="00D764AE">
        <w:rPr>
          <w:lang w:val="en-US"/>
        </w:rPr>
        <w:t xml:space="preserve"> the Reference can be empty or not.</w:t>
      </w:r>
    </w:p>
    <w:p w14:paraId="6E7B89FE" w14:textId="08E1D5F7" w:rsidR="00D764AE" w:rsidRDefault="00D764AE" w:rsidP="002F6666">
      <w:pPr>
        <w:jc w:val="both"/>
        <w:rPr>
          <w:lang w:val="en-US"/>
        </w:rPr>
      </w:pPr>
      <w:r>
        <w:rPr>
          <w:lang w:val="en-US"/>
        </w:rPr>
        <w:t>In case of a non-empty Reference configuration the following options exist:</w:t>
      </w:r>
    </w:p>
    <w:p w14:paraId="5ADA0759" w14:textId="12BA856B" w:rsidR="00D764AE" w:rsidRDefault="00D764AE" w:rsidP="002F6666">
      <w:pPr>
        <w:pStyle w:val="ListParagraph"/>
        <w:numPr>
          <w:ilvl w:val="0"/>
          <w:numId w:val="12"/>
        </w:numPr>
        <w:jc w:val="both"/>
      </w:pPr>
      <w:r>
        <w:t xml:space="preserve">The Reference configuration is a complete configuration, thus it contains all the </w:t>
      </w:r>
      <w:r w:rsidR="003F3B95">
        <w:t>needed</w:t>
      </w:r>
      <w:r>
        <w:t xml:space="preserve"> </w:t>
      </w:r>
      <w:r w:rsidR="00783C1C">
        <w:t>RRC IEs</w:t>
      </w:r>
      <w:r w:rsidR="003F3B95">
        <w:t xml:space="preserve"> for cell switch</w:t>
      </w:r>
      <w:r>
        <w:t>.</w:t>
      </w:r>
      <w:r w:rsidR="00783C1C">
        <w:t xml:space="preserve"> In this case the Reference configuration can be that of the serving cell at the time of preparation or a separate configuration. </w:t>
      </w:r>
      <w:bookmarkStart w:id="0" w:name="_Hlk131172652"/>
      <w:r w:rsidR="00F83C8D">
        <w:t xml:space="preserve">In case the Reference configuration is </w:t>
      </w:r>
      <w:r w:rsidR="00921DD1">
        <w:t xml:space="preserve">that of </w:t>
      </w:r>
      <w:r w:rsidR="00F83C8D">
        <w:t>the serving cell configuration at the time of the LTM configuration this needs to be indicated to the UE</w:t>
      </w:r>
      <w:bookmarkEnd w:id="0"/>
      <w:r w:rsidR="00F83C8D">
        <w:t>.</w:t>
      </w:r>
    </w:p>
    <w:p w14:paraId="724F9AC9" w14:textId="189D0D0D" w:rsidR="00D764AE" w:rsidRDefault="00D764AE" w:rsidP="002F6666">
      <w:pPr>
        <w:pStyle w:val="ListParagraph"/>
        <w:numPr>
          <w:ilvl w:val="0"/>
          <w:numId w:val="12"/>
        </w:numPr>
        <w:jc w:val="both"/>
      </w:pPr>
      <w:r>
        <w:t xml:space="preserve">The Reference configuration is not a complete configuration, thus it contains </w:t>
      </w:r>
      <w:r w:rsidR="00783C1C">
        <w:t xml:space="preserve">a part of the </w:t>
      </w:r>
      <w:r w:rsidR="003F3B95">
        <w:t>needed</w:t>
      </w:r>
      <w:r w:rsidR="00783C1C">
        <w:t xml:space="preserve"> RRC IEs</w:t>
      </w:r>
      <w:r w:rsidR="003F3B95">
        <w:t xml:space="preserve"> for cell switch</w:t>
      </w:r>
      <w:r w:rsidR="00783C1C">
        <w:t xml:space="preserve">. The benefit of this approach is the reduction of the </w:t>
      </w:r>
      <w:r w:rsidR="0097091F">
        <w:t xml:space="preserve">size of the contained </w:t>
      </w:r>
      <w:proofErr w:type="spellStart"/>
      <w:r w:rsidR="00783C1C" w:rsidRPr="001E1F27">
        <w:rPr>
          <w:i/>
          <w:iCs/>
        </w:rPr>
        <w:t>RRCReconfiguration</w:t>
      </w:r>
      <w:proofErr w:type="spellEnd"/>
      <w:r w:rsidR="00783C1C">
        <w:t xml:space="preserve"> message.</w:t>
      </w:r>
    </w:p>
    <w:p w14:paraId="5D82B338" w14:textId="27073C8F" w:rsidR="00783C1C" w:rsidRDefault="00783C1C" w:rsidP="002F6666">
      <w:pPr>
        <w:jc w:val="both"/>
      </w:pPr>
      <w:r>
        <w:t xml:space="preserve">In any case the UE will have to apply the target cell (delta) configuration in order to create a complete configuration for the Target cell. </w:t>
      </w:r>
    </w:p>
    <w:p w14:paraId="53022901" w14:textId="17D86872" w:rsidR="00921DD1" w:rsidRDefault="00921DD1" w:rsidP="00921DD1">
      <w:pPr>
        <w:pStyle w:val="Heading3"/>
      </w:pPr>
      <w:r>
        <w:t>2.</w:t>
      </w:r>
      <w:r w:rsidR="008B1AC6">
        <w:t>1</w:t>
      </w:r>
      <w:r>
        <w:t>.2 Reference Configuration</w:t>
      </w:r>
      <w:r w:rsidRPr="00921DD1">
        <w:t xml:space="preserve"> </w:t>
      </w:r>
      <w:r>
        <w:t>is empty</w:t>
      </w:r>
    </w:p>
    <w:p w14:paraId="25EFB91C" w14:textId="219BD50B" w:rsidR="00F83C8D" w:rsidRDefault="00F83C8D" w:rsidP="002F6666">
      <w:pPr>
        <w:jc w:val="both"/>
      </w:pPr>
      <w:r>
        <w:t>In case Reference Configuration is empty</w:t>
      </w:r>
      <w:r w:rsidR="00AC27B4">
        <w:t>,</w:t>
      </w:r>
      <w:r w:rsidR="00921DD1">
        <w:t xml:space="preserve"> there are the following options</w:t>
      </w:r>
      <w:r w:rsidR="004B5949">
        <w:t>:</w:t>
      </w:r>
    </w:p>
    <w:p w14:paraId="537B6DD6" w14:textId="2DAE53F6" w:rsidR="00921DD1" w:rsidRDefault="00921DD1" w:rsidP="00921DD1">
      <w:pPr>
        <w:pStyle w:val="ListParagraph"/>
        <w:numPr>
          <w:ilvl w:val="0"/>
          <w:numId w:val="14"/>
        </w:numPr>
        <w:jc w:val="both"/>
      </w:pPr>
      <w:r w:rsidRPr="00921DD1">
        <w:t>The target cell configuration is a complete configuration</w:t>
      </w:r>
      <w:r w:rsidR="00CB5110">
        <w:t xml:space="preserve"> (</w:t>
      </w:r>
      <w:r w:rsidR="000E3ECB">
        <w:fldChar w:fldCharType="begin"/>
      </w:r>
      <w:r w:rsidR="000E3ECB">
        <w:instrText xml:space="preserve"> REF _Ref134709083 \h </w:instrText>
      </w:r>
      <w:r w:rsidR="000E3ECB">
        <w:fldChar w:fldCharType="separate"/>
      </w:r>
      <w:r w:rsidR="000E3ECB" w:rsidDel="00B7069B">
        <w:t>Figure 1</w:t>
      </w:r>
      <w:r w:rsidR="000E3ECB">
        <w:fldChar w:fldCharType="end"/>
      </w:r>
      <w:r w:rsidR="005F7DFB">
        <w:t xml:space="preserve"> a</w:t>
      </w:r>
      <w:r w:rsidR="00CB5110">
        <w:t>)</w:t>
      </w:r>
      <w:r>
        <w:t xml:space="preserve">. In this case when the UE receives the cell switch command it applies </w:t>
      </w:r>
      <w:r w:rsidR="00190643">
        <w:t xml:space="preserve">(only) </w:t>
      </w:r>
      <w:r>
        <w:t>the target cell configuration</w:t>
      </w:r>
      <w:r w:rsidR="002F356C">
        <w:t xml:space="preserve"> (on top of current RRC configuration)</w:t>
      </w:r>
      <w:r>
        <w:t>.</w:t>
      </w:r>
    </w:p>
    <w:p w14:paraId="2331BFF0" w14:textId="5832CE6E" w:rsidR="00921DD1" w:rsidRDefault="00921DD1" w:rsidP="00921DD1">
      <w:pPr>
        <w:pStyle w:val="ListParagraph"/>
        <w:numPr>
          <w:ilvl w:val="0"/>
          <w:numId w:val="14"/>
        </w:numPr>
        <w:jc w:val="both"/>
      </w:pPr>
      <w:r>
        <w:t>The target cells configuration is a delta configuration</w:t>
      </w:r>
      <w:r w:rsidR="00CB5110">
        <w:t xml:space="preserve"> (</w:t>
      </w:r>
      <w:r w:rsidR="005F7DFB">
        <w:fldChar w:fldCharType="begin"/>
      </w:r>
      <w:r w:rsidR="005F7DFB">
        <w:instrText xml:space="preserve"> REF _Ref134709083 \h </w:instrText>
      </w:r>
      <w:r w:rsidR="005F7DFB">
        <w:fldChar w:fldCharType="separate"/>
      </w:r>
      <w:r w:rsidR="005F7DFB" w:rsidDel="00B7069B">
        <w:t>Figure 1</w:t>
      </w:r>
      <w:r w:rsidR="005F7DFB">
        <w:fldChar w:fldCharType="end"/>
      </w:r>
      <w:r w:rsidR="005F7DFB">
        <w:t xml:space="preserve"> b</w:t>
      </w:r>
      <w:r w:rsidR="00CB5110">
        <w:t>)</w:t>
      </w:r>
      <w:r>
        <w:t xml:space="preserve">. In this case when the UE receives the cell switch command it will apply the delta configuration on top of the current (at the time of the reception of the cell switch command) serving cell configuration. </w:t>
      </w:r>
      <w:r w:rsidR="00F5761A">
        <w:t>I</w:t>
      </w:r>
      <w:r w:rsidR="00445E23">
        <w:t>n order to ensure smooth operation in case of</w:t>
      </w:r>
      <w:r>
        <w:t xml:space="preserve"> subsequent cell changes without RRC Reconfiguration (i.e., Dynamic Switch), the </w:t>
      </w:r>
      <w:r w:rsidR="00445E23">
        <w:t>target cell configurations need to contain the same IE; thus when the cell change occurs only the same fields are updated.</w:t>
      </w:r>
      <w:r>
        <w:t xml:space="preserve">  </w:t>
      </w:r>
    </w:p>
    <w:tbl>
      <w:tblPr>
        <w:tblStyle w:val="TableGrid"/>
        <w:tblW w:w="0" w:type="auto"/>
        <w:tblLook w:val="04A0" w:firstRow="1" w:lastRow="0" w:firstColumn="1" w:lastColumn="0" w:noHBand="0" w:noVBand="1"/>
      </w:tblPr>
      <w:tblGrid>
        <w:gridCol w:w="4815"/>
        <w:gridCol w:w="4816"/>
      </w:tblGrid>
      <w:tr w:rsidR="00CB5110" w:rsidDel="00B7069B" w14:paraId="68463431" w14:textId="7F0E8B2F" w:rsidTr="00CB5110">
        <w:tc>
          <w:tcPr>
            <w:tcW w:w="4815" w:type="dxa"/>
          </w:tcPr>
          <w:p w14:paraId="5E2149CD" w14:textId="1E746188" w:rsidR="00CB5110" w:rsidDel="00B7069B" w:rsidRDefault="00CB5110" w:rsidP="00CB5110">
            <w:pPr>
              <w:keepNext/>
              <w:jc w:val="center"/>
            </w:pPr>
            <w:r w:rsidDel="00B7069B">
              <w:rPr>
                <w:noProof/>
              </w:rPr>
              <w:drawing>
                <wp:inline distT="0" distB="0" distL="0" distR="0" wp14:anchorId="41F9670F" wp14:editId="72E40EF1">
                  <wp:extent cx="1816735" cy="19265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16735" cy="1926590"/>
                          </a:xfrm>
                          <a:prstGeom prst="rect">
                            <a:avLst/>
                          </a:prstGeom>
                          <a:noFill/>
                        </pic:spPr>
                      </pic:pic>
                    </a:graphicData>
                  </a:graphic>
                </wp:inline>
              </w:drawing>
            </w:r>
          </w:p>
        </w:tc>
        <w:tc>
          <w:tcPr>
            <w:tcW w:w="4816" w:type="dxa"/>
          </w:tcPr>
          <w:p w14:paraId="3E193655" w14:textId="171E4375" w:rsidR="00CB5110" w:rsidDel="00B7069B" w:rsidRDefault="00CB5110" w:rsidP="00CB5110">
            <w:pPr>
              <w:jc w:val="center"/>
            </w:pPr>
            <w:r w:rsidDel="00B7069B">
              <w:rPr>
                <w:noProof/>
              </w:rPr>
              <w:drawing>
                <wp:inline distT="0" distB="0" distL="0" distR="0" wp14:anchorId="7B42D217" wp14:editId="54D28187">
                  <wp:extent cx="1823085" cy="192659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3085" cy="1926590"/>
                          </a:xfrm>
                          <a:prstGeom prst="rect">
                            <a:avLst/>
                          </a:prstGeom>
                          <a:noFill/>
                        </pic:spPr>
                      </pic:pic>
                    </a:graphicData>
                  </a:graphic>
                </wp:inline>
              </w:drawing>
            </w:r>
          </w:p>
        </w:tc>
      </w:tr>
      <w:tr w:rsidR="00CB5110" w:rsidDel="00B7069B" w14:paraId="354DD1C7" w14:textId="4F7329CB" w:rsidTr="00CB5110">
        <w:tc>
          <w:tcPr>
            <w:tcW w:w="4815" w:type="dxa"/>
          </w:tcPr>
          <w:p w14:paraId="684D296B" w14:textId="48757FE4" w:rsidR="00CB5110" w:rsidDel="00B7069B" w:rsidRDefault="00CB5110" w:rsidP="00CB5110">
            <w:pPr>
              <w:jc w:val="center"/>
            </w:pPr>
            <w:r w:rsidDel="00B7069B">
              <w:t>(a)</w:t>
            </w:r>
          </w:p>
        </w:tc>
        <w:tc>
          <w:tcPr>
            <w:tcW w:w="4816" w:type="dxa"/>
          </w:tcPr>
          <w:p w14:paraId="733AE41B" w14:textId="794E6485" w:rsidR="00CB5110" w:rsidDel="00B7069B" w:rsidRDefault="00CB5110" w:rsidP="00CB5110">
            <w:pPr>
              <w:jc w:val="center"/>
            </w:pPr>
            <w:r w:rsidDel="00B7069B">
              <w:t>(b)</w:t>
            </w:r>
          </w:p>
        </w:tc>
      </w:tr>
    </w:tbl>
    <w:p w14:paraId="49EEF5C3" w14:textId="037A974F" w:rsidR="00CB5110" w:rsidDel="00B7069B" w:rsidRDefault="00CB5110" w:rsidP="000D3057">
      <w:pPr>
        <w:pStyle w:val="Caption"/>
        <w:jc w:val="center"/>
      </w:pPr>
      <w:bookmarkStart w:id="1" w:name="_Ref134709083"/>
      <w:r w:rsidDel="00B7069B">
        <w:t xml:space="preserve">Figure </w:t>
      </w:r>
      <w:r w:rsidDel="00B7069B">
        <w:fldChar w:fldCharType="begin"/>
      </w:r>
      <w:r w:rsidDel="00B7069B">
        <w:instrText xml:space="preserve"> SEQ Figure \* ARABIC </w:instrText>
      </w:r>
      <w:r w:rsidDel="00B7069B">
        <w:fldChar w:fldCharType="separate"/>
      </w:r>
      <w:r w:rsidDel="00B7069B">
        <w:t>1</w:t>
      </w:r>
      <w:r w:rsidDel="00B7069B">
        <w:fldChar w:fldCharType="end"/>
      </w:r>
      <w:bookmarkEnd w:id="1"/>
      <w:r w:rsidDel="00B7069B">
        <w:t xml:space="preserve">: </w:t>
      </w:r>
      <w:r w:rsidR="000D3057" w:rsidDel="00B7069B">
        <w:t xml:space="preserve">(a) RRC Configuration where </w:t>
      </w:r>
      <w:r w:rsidR="000D3057" w:rsidRPr="000D3057" w:rsidDel="00B7069B">
        <w:t>Reference Configuration empty</w:t>
      </w:r>
      <w:r w:rsidR="000D3057" w:rsidDel="00B7069B">
        <w:t xml:space="preserve"> and target cell configurations are complete, (b) RRC Configuration where </w:t>
      </w:r>
      <w:r w:rsidR="000D3057" w:rsidRPr="000D3057" w:rsidDel="00B7069B">
        <w:t>Reference Configuration empty</w:t>
      </w:r>
      <w:r w:rsidR="000D3057" w:rsidDel="00B7069B">
        <w:t xml:space="preserve"> and target cell configurations are delta</w:t>
      </w:r>
    </w:p>
    <w:p w14:paraId="08DA1132" w14:textId="731399F5" w:rsidR="00445E23" w:rsidDel="00B7069B" w:rsidRDefault="00CB5110" w:rsidP="00445E23">
      <w:pPr>
        <w:jc w:val="both"/>
      </w:pPr>
      <w:r w:rsidRPr="00CB5110" w:rsidDel="00B7069B">
        <w:t>According to the agreement</w:t>
      </w:r>
      <w:r w:rsidDel="00B7069B">
        <w:t>s</w:t>
      </w:r>
      <w:r w:rsidRPr="00CB5110" w:rsidDel="00B7069B">
        <w:t xml:space="preserve"> from the previous meeting</w:t>
      </w:r>
      <w:r w:rsidDel="00B7069B">
        <w:t>s:</w:t>
      </w:r>
    </w:p>
    <w:p w14:paraId="4268E806" w14:textId="364C807B" w:rsidR="00CB5110" w:rsidDel="00B7069B" w:rsidRDefault="00CB5110" w:rsidP="00CB5110">
      <w:pPr>
        <w:pStyle w:val="ListParagraph"/>
        <w:numPr>
          <w:ilvl w:val="0"/>
          <w:numId w:val="25"/>
        </w:numPr>
        <w:jc w:val="both"/>
      </w:pPr>
      <w:r w:rsidRPr="00CB5110" w:rsidDel="00B7069B">
        <w:rPr>
          <w:i/>
          <w:iCs/>
        </w:rPr>
        <w:t>Reference config can be empty</w:t>
      </w:r>
      <w:r w:rsidDel="00B7069B">
        <w:t xml:space="preserve"> (RAN2#121 [</w:t>
      </w:r>
      <w:r w:rsidR="00567A23">
        <w:t>1</w:t>
      </w:r>
      <w:r w:rsidDel="00B7069B">
        <w:t>])</w:t>
      </w:r>
    </w:p>
    <w:p w14:paraId="4E6E1224" w14:textId="2FE9CF0B" w:rsidR="00CB5110" w:rsidDel="00B7069B" w:rsidRDefault="00CB5110" w:rsidP="00CB5110">
      <w:pPr>
        <w:pStyle w:val="ListParagraph"/>
        <w:numPr>
          <w:ilvl w:val="0"/>
          <w:numId w:val="25"/>
        </w:numPr>
      </w:pPr>
      <w:r w:rsidRPr="00CB5110" w:rsidDel="00B7069B">
        <w:rPr>
          <w:i/>
          <w:iCs/>
        </w:rPr>
        <w:t>Reference configuration + LTM candidate configuration (in combination) has to be a complete configuration.</w:t>
      </w:r>
      <w:r w:rsidRPr="00CB5110" w:rsidDel="00B7069B">
        <w:t xml:space="preserve"> </w:t>
      </w:r>
      <w:r w:rsidDel="00B7069B">
        <w:t>(RAN2#121bis [</w:t>
      </w:r>
      <w:r w:rsidR="00567A23">
        <w:t>2</w:t>
      </w:r>
      <w:r w:rsidDel="00B7069B">
        <w:t>])</w:t>
      </w:r>
    </w:p>
    <w:p w14:paraId="24D9169E" w14:textId="678BF423" w:rsidR="00CB5110" w:rsidRPr="00CB5110" w:rsidDel="00B7069B" w:rsidRDefault="00CB5110" w:rsidP="00CB5110">
      <w:pPr>
        <w:jc w:val="both"/>
      </w:pPr>
      <w:r w:rsidDel="00B7069B">
        <w:t>Since the combination of the reference configuration and of the target cell configuration is always a complete configuration, if the reference configuration is empty, the target cell configuration should be a complete configuration</w:t>
      </w:r>
    </w:p>
    <w:p w14:paraId="671DF05B" w14:textId="3F33C80C" w:rsidR="00CB5110" w:rsidRPr="00CB5110" w:rsidDel="00B7069B" w:rsidRDefault="00CB5110" w:rsidP="00CB5110">
      <w:pPr>
        <w:jc w:val="both"/>
        <w:rPr>
          <w:b/>
          <w:bCs/>
        </w:rPr>
      </w:pPr>
      <w:r w:rsidRPr="00CB5110" w:rsidDel="00B7069B">
        <w:rPr>
          <w:b/>
          <w:bCs/>
        </w:rPr>
        <w:t xml:space="preserve">Observation </w:t>
      </w:r>
      <w:r w:rsidR="00A07B75">
        <w:rPr>
          <w:b/>
          <w:bCs/>
        </w:rPr>
        <w:t>1</w:t>
      </w:r>
      <w:r w:rsidRPr="00CB5110" w:rsidDel="00B7069B">
        <w:rPr>
          <w:b/>
          <w:bCs/>
        </w:rPr>
        <w:t>: The</w:t>
      </w:r>
      <w:r w:rsidDel="00B7069B">
        <w:rPr>
          <w:b/>
          <w:bCs/>
        </w:rPr>
        <w:t xml:space="preserve"> previous agreements </w:t>
      </w:r>
      <w:r w:rsidRPr="00CB5110" w:rsidDel="00B7069B">
        <w:rPr>
          <w:b/>
          <w:bCs/>
        </w:rPr>
        <w:t xml:space="preserve">indicate that the in case Reference is empty the Target cell configuration is a complete configuration. </w:t>
      </w:r>
    </w:p>
    <w:p w14:paraId="30E034D7" w14:textId="77777777" w:rsidR="00B7069B" w:rsidRDefault="00B7069B" w:rsidP="00B7069B">
      <w:pPr>
        <w:jc w:val="both"/>
      </w:pPr>
      <w:r w:rsidRPr="00CB5110">
        <w:t>According to the agreement</w:t>
      </w:r>
      <w:r>
        <w:t>s</w:t>
      </w:r>
      <w:r w:rsidRPr="00CB5110">
        <w:t xml:space="preserve"> from the previous meeting</w:t>
      </w:r>
      <w:r>
        <w:t>s:</w:t>
      </w:r>
    </w:p>
    <w:p w14:paraId="2457F38C" w14:textId="4D2E825B" w:rsidR="00B7069B" w:rsidRDefault="00B7069B" w:rsidP="00B7069B">
      <w:pPr>
        <w:pStyle w:val="ListParagraph"/>
        <w:numPr>
          <w:ilvl w:val="0"/>
          <w:numId w:val="25"/>
        </w:numPr>
        <w:jc w:val="both"/>
      </w:pPr>
      <w:r w:rsidRPr="00CB5110">
        <w:rPr>
          <w:i/>
          <w:iCs/>
        </w:rPr>
        <w:t>Reference config can be empty</w:t>
      </w:r>
      <w:r>
        <w:t xml:space="preserve"> (RAN2#121 [</w:t>
      </w:r>
      <w:r w:rsidR="00102971">
        <w:t>1</w:t>
      </w:r>
      <w:r>
        <w:t>])</w:t>
      </w:r>
    </w:p>
    <w:p w14:paraId="5D271AB9" w14:textId="0C4BAB4A" w:rsidR="00B7069B" w:rsidRDefault="00B7069B" w:rsidP="00B7069B">
      <w:pPr>
        <w:pStyle w:val="ListParagraph"/>
        <w:numPr>
          <w:ilvl w:val="0"/>
          <w:numId w:val="25"/>
        </w:numPr>
      </w:pPr>
      <w:r w:rsidRPr="00CB5110">
        <w:rPr>
          <w:i/>
          <w:iCs/>
        </w:rPr>
        <w:t>Reference configuration + LTM candidate configuration (in combination) has to be a complete configuration.</w:t>
      </w:r>
      <w:r w:rsidRPr="00CB5110">
        <w:t xml:space="preserve"> </w:t>
      </w:r>
      <w:r>
        <w:t>(RAN2#121bis [</w:t>
      </w:r>
      <w:r w:rsidR="00102971">
        <w:t>2</w:t>
      </w:r>
      <w:r>
        <w:t>])</w:t>
      </w:r>
    </w:p>
    <w:p w14:paraId="40391561" w14:textId="77777777" w:rsidR="00B7069B" w:rsidRPr="00CB5110" w:rsidRDefault="00B7069B" w:rsidP="00B7069B">
      <w:pPr>
        <w:jc w:val="both"/>
      </w:pPr>
      <w:r>
        <w:t>Since the combination of the reference configuration and of the target cell configuration is always a complete configuration, if the reference configuration is empty, the target cell configuration should be a complete configuration</w:t>
      </w:r>
    </w:p>
    <w:p w14:paraId="79A0BA8C" w14:textId="32F9DA49" w:rsidR="00445E23" w:rsidRPr="003A211A" w:rsidRDefault="00445E23" w:rsidP="00445E23">
      <w:pPr>
        <w:jc w:val="both"/>
      </w:pPr>
      <w:r>
        <w:t xml:space="preserve">As it is obvious, </w:t>
      </w:r>
      <w:r w:rsidR="00B7069B">
        <w:t xml:space="preserve">use of complete configuration when the reference configuration is empty ensures </w:t>
      </w:r>
      <w:r>
        <w:t>smooth operation in dynamic switching</w:t>
      </w:r>
      <w:r w:rsidR="00B7069B">
        <w:t xml:space="preserve">. </w:t>
      </w:r>
      <w:r>
        <w:t xml:space="preserve"> </w:t>
      </w:r>
    </w:p>
    <w:p w14:paraId="2DE2E859" w14:textId="6CC28659" w:rsidR="004B6F07" w:rsidRPr="00567A23" w:rsidRDefault="004B6F07" w:rsidP="00990A0C">
      <w:pPr>
        <w:jc w:val="both"/>
        <w:rPr>
          <w:b/>
          <w:bCs/>
        </w:rPr>
      </w:pPr>
      <w:r w:rsidRPr="00567A23">
        <w:rPr>
          <w:b/>
          <w:bCs/>
        </w:rPr>
        <w:t xml:space="preserve">Proposal </w:t>
      </w:r>
      <w:r w:rsidR="00990A0C" w:rsidRPr="00567A23">
        <w:rPr>
          <w:b/>
          <w:bCs/>
        </w:rPr>
        <w:t>1</w:t>
      </w:r>
      <w:r w:rsidRPr="00567A23">
        <w:rPr>
          <w:b/>
          <w:bCs/>
        </w:rPr>
        <w:t xml:space="preserve">: RAN2 to </w:t>
      </w:r>
      <w:r w:rsidR="00B7069B" w:rsidRPr="00567A23">
        <w:rPr>
          <w:b/>
          <w:bCs/>
        </w:rPr>
        <w:t xml:space="preserve">confirm the previous agreements that </w:t>
      </w:r>
      <w:r w:rsidR="003E148F" w:rsidRPr="00567A23">
        <w:rPr>
          <w:b/>
          <w:bCs/>
        </w:rPr>
        <w:t>R</w:t>
      </w:r>
      <w:r w:rsidRPr="00567A23">
        <w:rPr>
          <w:b/>
          <w:bCs/>
        </w:rPr>
        <w:t xml:space="preserve">eference configuration </w:t>
      </w:r>
      <w:r w:rsidR="00B7069B" w:rsidRPr="00567A23">
        <w:rPr>
          <w:b/>
          <w:bCs/>
        </w:rPr>
        <w:t xml:space="preserve">empty, </w:t>
      </w:r>
      <w:r w:rsidRPr="00567A23">
        <w:rPr>
          <w:b/>
          <w:bCs/>
        </w:rPr>
        <w:t>target cells configurations are complete configurations</w:t>
      </w:r>
      <w:r w:rsidR="00B7069B" w:rsidRPr="00567A23">
        <w:rPr>
          <w:b/>
          <w:bCs/>
        </w:rPr>
        <w:t xml:space="preserve"> in dynamic switching</w:t>
      </w:r>
      <w:r w:rsidRPr="00567A23">
        <w:rPr>
          <w:b/>
          <w:bCs/>
        </w:rPr>
        <w:t>.</w:t>
      </w:r>
    </w:p>
    <w:p w14:paraId="3107498B" w14:textId="73C2C45F" w:rsidR="00485652" w:rsidRDefault="00485652" w:rsidP="00485652">
      <w:pPr>
        <w:pStyle w:val="Heading2"/>
      </w:pPr>
      <w:r>
        <w:t>2</w:t>
      </w:r>
      <w:r w:rsidRPr="006E13D1">
        <w:t>.</w:t>
      </w:r>
      <w:r w:rsidR="008B1AC6">
        <w:t>2</w:t>
      </w:r>
      <w:r w:rsidRPr="006E13D1">
        <w:tab/>
      </w:r>
      <w:r>
        <w:t>RRC Reconfiguration Validity Check</w:t>
      </w:r>
    </w:p>
    <w:p w14:paraId="5ACD3BCB" w14:textId="11F46A59" w:rsidR="00CB1F7D" w:rsidRDefault="00CB1F7D" w:rsidP="00CB1F7D">
      <w:pPr>
        <w:pStyle w:val="Heading3"/>
      </w:pPr>
      <w:r>
        <w:t>2.</w:t>
      </w:r>
      <w:r w:rsidR="008B1AC6">
        <w:t>2</w:t>
      </w:r>
      <w:r>
        <w:t>.1 Procedures for validity check in the UE</w:t>
      </w:r>
    </w:p>
    <w:p w14:paraId="54A8AEDD" w14:textId="3C562CB0" w:rsidR="00485652" w:rsidRDefault="00485652" w:rsidP="00F5761A">
      <w:pPr>
        <w:jc w:val="both"/>
      </w:pPr>
      <w:r>
        <w:t xml:space="preserve">Similarly to the previous cases, we think that we should clarify the UE operation regarding the validity check and elaborate on the possible options. </w:t>
      </w:r>
    </w:p>
    <w:p w14:paraId="0B9157FC" w14:textId="1F781053" w:rsidR="00F5761A" w:rsidRPr="00F5761A" w:rsidRDefault="00F5761A" w:rsidP="00F5761A">
      <w:pPr>
        <w:pStyle w:val="ListParagraph"/>
        <w:numPr>
          <w:ilvl w:val="0"/>
          <w:numId w:val="15"/>
        </w:numPr>
        <w:jc w:val="both"/>
        <w:rPr>
          <w:b/>
          <w:bCs/>
        </w:rPr>
      </w:pPr>
      <w:r w:rsidRPr="00F5761A">
        <w:rPr>
          <w:b/>
          <w:bCs/>
        </w:rPr>
        <w:t>Reference Configuration is non-empty</w:t>
      </w:r>
    </w:p>
    <w:p w14:paraId="5C170CE1" w14:textId="06072D68" w:rsidR="00F5761A" w:rsidRDefault="00F5761A" w:rsidP="00F5761A">
      <w:pPr>
        <w:pStyle w:val="ListParagraph"/>
        <w:numPr>
          <w:ilvl w:val="1"/>
          <w:numId w:val="15"/>
        </w:numPr>
        <w:jc w:val="both"/>
      </w:pPr>
      <w:r>
        <w:t>The UE, upon the reception of the RRC reconfiguration for the LTM preparation, decode</w:t>
      </w:r>
      <w:r w:rsidR="00670B02">
        <w:t>s</w:t>
      </w:r>
      <w:r>
        <w:t xml:space="preserve"> the RRC Reconfiguration message (which contains the reference and the target cells deltas), and appl</w:t>
      </w:r>
      <w:r w:rsidR="00EA7EC8">
        <w:t>ies</w:t>
      </w:r>
      <w:r>
        <w:t xml:space="preserve"> the target cell delta configuration on top of the Reference and creates a complete configuration. Once it has created target cells complete configurations it can </w:t>
      </w:r>
      <w:r w:rsidR="00464D54">
        <w:t>perform early validity check for these configurations</w:t>
      </w:r>
      <w:r w:rsidR="00EF5544">
        <w:t xml:space="preserve"> (Figure 2a)</w:t>
      </w:r>
      <w:r w:rsidR="00464D54">
        <w:t>.</w:t>
      </w:r>
    </w:p>
    <w:p w14:paraId="428EF962" w14:textId="445CE7AA" w:rsidR="004A7984" w:rsidRDefault="00FB62ED" w:rsidP="00FB62ED">
      <w:pPr>
        <w:pStyle w:val="ListParagraph"/>
        <w:numPr>
          <w:ilvl w:val="2"/>
          <w:numId w:val="15"/>
        </w:numPr>
        <w:jc w:val="both"/>
      </w:pPr>
      <w:r>
        <w:t xml:space="preserve">Pros: </w:t>
      </w:r>
    </w:p>
    <w:p w14:paraId="3B302F89" w14:textId="1D2F9F56" w:rsidR="004A7984" w:rsidRDefault="004A7984" w:rsidP="004A7984">
      <w:pPr>
        <w:pStyle w:val="ListParagraph"/>
        <w:numPr>
          <w:ilvl w:val="3"/>
          <w:numId w:val="15"/>
        </w:numPr>
        <w:jc w:val="both"/>
      </w:pPr>
      <w:r>
        <w:t xml:space="preserve">Early validity check can be performed for all target cells in time and this can enable the UE and the network to react, e.g., the UE can inform the network about </w:t>
      </w:r>
      <w:r w:rsidR="002B056A">
        <w:t>any</w:t>
      </w:r>
      <w:r>
        <w:t xml:space="preserve"> invalid configuration</w:t>
      </w:r>
      <w:r w:rsidR="002B056A">
        <w:t xml:space="preserve"> before it is actually used for accessing this target cell</w:t>
      </w:r>
      <w:r>
        <w:t>.</w:t>
      </w:r>
    </w:p>
    <w:p w14:paraId="61C85218" w14:textId="43BE10E7" w:rsidR="00FB62ED" w:rsidRDefault="00FB62ED" w:rsidP="00FB62ED">
      <w:pPr>
        <w:pStyle w:val="ListParagraph"/>
        <w:numPr>
          <w:ilvl w:val="2"/>
          <w:numId w:val="15"/>
        </w:numPr>
        <w:jc w:val="both"/>
      </w:pPr>
      <w:r>
        <w:t xml:space="preserve">Cons: </w:t>
      </w:r>
    </w:p>
    <w:p w14:paraId="7A86E88D" w14:textId="77777777" w:rsidR="004A7984" w:rsidRDefault="004A7984" w:rsidP="004A7984">
      <w:pPr>
        <w:pStyle w:val="ListParagraph"/>
        <w:numPr>
          <w:ilvl w:val="3"/>
          <w:numId w:val="15"/>
        </w:numPr>
        <w:jc w:val="both"/>
      </w:pPr>
      <w:r>
        <w:t xml:space="preserve">processing heavy since the UE needs to create and store all target cell complete configurations before the reception of the cell switch command. </w:t>
      </w:r>
    </w:p>
    <w:p w14:paraId="6D9B4163" w14:textId="7587021B" w:rsidR="004A7984" w:rsidRDefault="004A7984" w:rsidP="004A7984">
      <w:pPr>
        <w:pStyle w:val="ListParagraph"/>
        <w:numPr>
          <w:ilvl w:val="3"/>
          <w:numId w:val="15"/>
        </w:numPr>
        <w:jc w:val="both"/>
      </w:pPr>
      <w:r>
        <w:t xml:space="preserve">processing is needed even for cells that the UE </w:t>
      </w:r>
      <w:r w:rsidR="00366EAF">
        <w:t>may</w:t>
      </w:r>
      <w:r w:rsidR="006E7FAA">
        <w:t xml:space="preserve"> </w:t>
      </w:r>
      <w:r>
        <w:t>even</w:t>
      </w:r>
      <w:r w:rsidR="006E7FAA">
        <w:t xml:space="preserve"> never</w:t>
      </w:r>
      <w:r>
        <w:t xml:space="preserve"> access.</w:t>
      </w:r>
    </w:p>
    <w:p w14:paraId="09880AB0" w14:textId="534BEFC9" w:rsidR="00F5761A" w:rsidRDefault="00F5761A" w:rsidP="00F5761A">
      <w:pPr>
        <w:pStyle w:val="ListParagraph"/>
        <w:numPr>
          <w:ilvl w:val="1"/>
          <w:numId w:val="15"/>
        </w:numPr>
        <w:jc w:val="both"/>
      </w:pPr>
      <w:r>
        <w:t>The UE, upon the reception of the RRC reconfiguration for the LTM preparation, decode</w:t>
      </w:r>
      <w:r w:rsidR="00464D54">
        <w:t>s</w:t>
      </w:r>
      <w:r>
        <w:t xml:space="preserve"> </w:t>
      </w:r>
      <w:r w:rsidR="00464D54">
        <w:t>only the Reference Configuration and performs early validity check only on it.</w:t>
      </w:r>
      <w:r w:rsidR="00FB62ED">
        <w:t xml:space="preserve"> At the time of the reception of the MAC CE to trigger cell change the UE will perform </w:t>
      </w:r>
      <w:r w:rsidR="00FB62ED" w:rsidRPr="00FB62ED">
        <w:t>validity check</w:t>
      </w:r>
      <w:r w:rsidR="00FB62ED">
        <w:t xml:space="preserve"> to the (complete) target cell configuration</w:t>
      </w:r>
      <w:r w:rsidR="00EF5544">
        <w:t xml:space="preserve"> (Figure 2b)</w:t>
      </w:r>
      <w:r w:rsidR="00FB62ED">
        <w:t>.</w:t>
      </w:r>
    </w:p>
    <w:p w14:paraId="333393EB" w14:textId="77777777" w:rsidR="004A7984" w:rsidRDefault="004A7984" w:rsidP="004A7984">
      <w:pPr>
        <w:pStyle w:val="ListParagraph"/>
        <w:numPr>
          <w:ilvl w:val="2"/>
          <w:numId w:val="15"/>
        </w:numPr>
        <w:jc w:val="both"/>
      </w:pPr>
      <w:r>
        <w:t xml:space="preserve">Pros: </w:t>
      </w:r>
    </w:p>
    <w:p w14:paraId="5CBE761C" w14:textId="0D25A622" w:rsidR="004A7984" w:rsidRDefault="004A7984" w:rsidP="004A7984">
      <w:pPr>
        <w:pStyle w:val="ListParagraph"/>
        <w:numPr>
          <w:ilvl w:val="3"/>
          <w:numId w:val="15"/>
        </w:numPr>
        <w:jc w:val="both"/>
      </w:pPr>
      <w:r>
        <w:t xml:space="preserve">Early validity check is performed for the Reference Configuration which enables that </w:t>
      </w:r>
      <w:r w:rsidR="00D80A08">
        <w:t>an</w:t>
      </w:r>
      <w:r>
        <w:t xml:space="preserve"> invalid </w:t>
      </w:r>
      <w:r w:rsidR="00D80A08">
        <w:t xml:space="preserve">Reference </w:t>
      </w:r>
      <w:r>
        <w:t>configuration can be identified in time and the UE and the network can react, e.g., the UE can inform the network about the invalid reference configuration</w:t>
      </w:r>
    </w:p>
    <w:p w14:paraId="789A9F6E" w14:textId="75FF12AA" w:rsidR="004A7984" w:rsidRDefault="004A7984" w:rsidP="004A7984">
      <w:pPr>
        <w:pStyle w:val="ListParagraph"/>
        <w:numPr>
          <w:ilvl w:val="3"/>
          <w:numId w:val="15"/>
        </w:numPr>
        <w:jc w:val="both"/>
      </w:pPr>
      <w:r>
        <w:t>It is not that processing heavy since only one configuration is evaluated for validity.</w:t>
      </w:r>
    </w:p>
    <w:p w14:paraId="11C604EA" w14:textId="77777777" w:rsidR="004A7984" w:rsidRDefault="004A7984" w:rsidP="004A7984">
      <w:pPr>
        <w:pStyle w:val="ListParagraph"/>
        <w:numPr>
          <w:ilvl w:val="2"/>
          <w:numId w:val="15"/>
        </w:numPr>
        <w:jc w:val="both"/>
      </w:pPr>
      <w:r>
        <w:t xml:space="preserve">Cons: </w:t>
      </w:r>
    </w:p>
    <w:p w14:paraId="4ED8A9ED" w14:textId="4C65DCCA" w:rsidR="00915226" w:rsidRDefault="004A7984" w:rsidP="004A7984">
      <w:pPr>
        <w:pStyle w:val="ListParagraph"/>
        <w:numPr>
          <w:ilvl w:val="3"/>
          <w:numId w:val="15"/>
        </w:numPr>
        <w:jc w:val="both"/>
      </w:pPr>
      <w:r>
        <w:t>The target cells delta configurations are not evaluated and also the complete configurations are not evaluated for inconsistencies.</w:t>
      </w:r>
    </w:p>
    <w:p w14:paraId="7AD3FD6F" w14:textId="4A9DE300" w:rsidR="00AD264B" w:rsidRDefault="00AD264B" w:rsidP="00AD264B">
      <w:pPr>
        <w:jc w:val="both"/>
      </w:pPr>
    </w:p>
    <w:tbl>
      <w:tblPr>
        <w:tblStyle w:val="TableGrid"/>
        <w:tblW w:w="10343" w:type="dxa"/>
        <w:tblLook w:val="04A0" w:firstRow="1" w:lastRow="0" w:firstColumn="1" w:lastColumn="0" w:noHBand="0" w:noVBand="1"/>
      </w:tblPr>
      <w:tblGrid>
        <w:gridCol w:w="10343"/>
      </w:tblGrid>
      <w:tr w:rsidR="00AD264B" w14:paraId="63B516D0" w14:textId="77777777" w:rsidTr="008F7607">
        <w:tc>
          <w:tcPr>
            <w:tcW w:w="10343" w:type="dxa"/>
          </w:tcPr>
          <w:p w14:paraId="3B6275B0" w14:textId="77777777" w:rsidR="00AD264B" w:rsidRDefault="00AD264B" w:rsidP="008F7607">
            <w:pPr>
              <w:spacing w:after="0"/>
              <w:jc w:val="center"/>
              <w:rPr>
                <w:noProof/>
              </w:rPr>
            </w:pPr>
            <w:r>
              <w:rPr>
                <w:noProof/>
              </w:rPr>
              <w:drawing>
                <wp:inline distT="0" distB="0" distL="0" distR="0" wp14:anchorId="6C944E72" wp14:editId="10925644">
                  <wp:extent cx="4525539" cy="3420000"/>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25539" cy="3420000"/>
                          </a:xfrm>
                          <a:prstGeom prst="rect">
                            <a:avLst/>
                          </a:prstGeom>
                          <a:noFill/>
                        </pic:spPr>
                      </pic:pic>
                    </a:graphicData>
                  </a:graphic>
                </wp:inline>
              </w:drawing>
            </w:r>
          </w:p>
          <w:p w14:paraId="4B49A7BF" w14:textId="77777777" w:rsidR="00AD264B" w:rsidRDefault="00AD264B" w:rsidP="008F7607">
            <w:pPr>
              <w:spacing w:after="0"/>
              <w:jc w:val="center"/>
              <w:rPr>
                <w:noProof/>
              </w:rPr>
            </w:pPr>
            <w:r>
              <w:rPr>
                <w:noProof/>
              </w:rPr>
              <w:t>(a)</w:t>
            </w:r>
          </w:p>
        </w:tc>
      </w:tr>
      <w:tr w:rsidR="00AD264B" w14:paraId="12762C71" w14:textId="77777777" w:rsidTr="008F7607">
        <w:tc>
          <w:tcPr>
            <w:tcW w:w="10343" w:type="dxa"/>
          </w:tcPr>
          <w:p w14:paraId="35390DE4" w14:textId="77777777" w:rsidR="00AD264B" w:rsidRDefault="00AD264B" w:rsidP="008F7607">
            <w:pPr>
              <w:spacing w:after="0"/>
              <w:jc w:val="center"/>
              <w:rPr>
                <w:noProof/>
              </w:rPr>
            </w:pPr>
            <w:r>
              <w:rPr>
                <w:noProof/>
              </w:rPr>
              <w:drawing>
                <wp:inline distT="0" distB="0" distL="0" distR="0" wp14:anchorId="59042314" wp14:editId="0EC28ED6">
                  <wp:extent cx="5291493" cy="3420000"/>
                  <wp:effectExtent l="0" t="0" r="444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91493" cy="3420000"/>
                          </a:xfrm>
                          <a:prstGeom prst="rect">
                            <a:avLst/>
                          </a:prstGeom>
                          <a:noFill/>
                        </pic:spPr>
                      </pic:pic>
                    </a:graphicData>
                  </a:graphic>
                </wp:inline>
              </w:drawing>
            </w:r>
          </w:p>
          <w:p w14:paraId="68D6C5FB" w14:textId="77777777" w:rsidR="00AD264B" w:rsidRDefault="00AD264B" w:rsidP="008F7607">
            <w:pPr>
              <w:spacing w:after="0"/>
              <w:jc w:val="center"/>
              <w:rPr>
                <w:noProof/>
              </w:rPr>
            </w:pPr>
            <w:r>
              <w:rPr>
                <w:noProof/>
              </w:rPr>
              <w:t>(b)</w:t>
            </w:r>
          </w:p>
        </w:tc>
      </w:tr>
    </w:tbl>
    <w:p w14:paraId="5A93A0FF" w14:textId="77777777" w:rsidR="00AD264B" w:rsidRDefault="00AD264B" w:rsidP="00AD264B">
      <w:pPr>
        <w:pStyle w:val="Caption"/>
        <w:jc w:val="center"/>
      </w:pPr>
      <w:r>
        <w:t xml:space="preserve">Figure </w:t>
      </w:r>
      <w:r>
        <w:fldChar w:fldCharType="begin"/>
      </w:r>
      <w:r>
        <w:instrText>SEQ Figure \* ARABIC</w:instrText>
      </w:r>
      <w:r>
        <w:fldChar w:fldCharType="separate"/>
      </w:r>
      <w:r w:rsidR="00CB5110">
        <w:rPr>
          <w:noProof/>
        </w:rPr>
        <w:t>2</w:t>
      </w:r>
      <w:r>
        <w:fldChar w:fldCharType="end"/>
      </w:r>
      <w:r>
        <w:t xml:space="preserve">: Validity check of target cell configurations with non-empty </w:t>
      </w:r>
      <w:r w:rsidRPr="00260D94">
        <w:t xml:space="preserve">Reference </w:t>
      </w:r>
      <w:r>
        <w:t>c</w:t>
      </w:r>
      <w:r w:rsidRPr="00260D94">
        <w:t xml:space="preserve">onfiguration </w:t>
      </w:r>
    </w:p>
    <w:p w14:paraId="338C94C2" w14:textId="31538D24" w:rsidR="004A7984" w:rsidRDefault="004A7984" w:rsidP="003E17CC">
      <w:pPr>
        <w:pStyle w:val="ListParagraph"/>
        <w:ind w:left="2880"/>
        <w:jc w:val="both"/>
      </w:pPr>
    </w:p>
    <w:p w14:paraId="7D6AE222" w14:textId="4C9BBC51" w:rsidR="00FB62ED" w:rsidRPr="00FB62ED" w:rsidRDefault="00FB62ED" w:rsidP="00FB62ED">
      <w:pPr>
        <w:pStyle w:val="ListParagraph"/>
        <w:numPr>
          <w:ilvl w:val="0"/>
          <w:numId w:val="15"/>
        </w:numPr>
        <w:jc w:val="both"/>
      </w:pPr>
      <w:r w:rsidRPr="00FB62ED">
        <w:rPr>
          <w:b/>
          <w:bCs/>
        </w:rPr>
        <w:t xml:space="preserve">Reference Configuration </w:t>
      </w:r>
      <w:r w:rsidR="00DF7F90" w:rsidRPr="00DF7F90">
        <w:rPr>
          <w:b/>
          <w:bCs/>
        </w:rPr>
        <w:t>is empty</w:t>
      </w:r>
    </w:p>
    <w:p w14:paraId="3A9074EE" w14:textId="5F2A9089" w:rsidR="00F83C8D" w:rsidRDefault="00B74BFD" w:rsidP="00B74BFD">
      <w:pPr>
        <w:pStyle w:val="ListParagraph"/>
        <w:numPr>
          <w:ilvl w:val="1"/>
          <w:numId w:val="15"/>
        </w:numPr>
        <w:jc w:val="both"/>
      </w:pPr>
      <w:r>
        <w:t>As described above, according to the previous agreements if the Reference Configuration is empty the target cell configurations should be complete configurations. In such case, the UE, upon the r</w:t>
      </w:r>
      <w:r w:rsidR="00FB62ED">
        <w:t>eception of the RRC reconfiguration for the LTM preparation, decode</w:t>
      </w:r>
      <w:r w:rsidR="00A0456F">
        <w:t>s</w:t>
      </w:r>
      <w:r w:rsidR="00FB62ED">
        <w:t xml:space="preserve"> the RRC Reconfiguration message (which contains the target cell</w:t>
      </w:r>
      <w:r w:rsidR="00A0456F">
        <w:t xml:space="preserve"> configuration</w:t>
      </w:r>
      <w:r w:rsidR="00FB62ED">
        <w:t>s), and perform</w:t>
      </w:r>
      <w:r>
        <w:t>s</w:t>
      </w:r>
      <w:r w:rsidR="00FB62ED">
        <w:t xml:space="preserve"> early validity check for these configurations</w:t>
      </w:r>
      <w:r w:rsidR="00EF5544">
        <w:t xml:space="preserve"> (Figure </w:t>
      </w:r>
      <w:r w:rsidR="00687866">
        <w:t>3</w:t>
      </w:r>
      <w:r w:rsidR="00EF5544">
        <w:t>).</w:t>
      </w:r>
      <w:r w:rsidR="00FB62ED">
        <w:t xml:space="preserve"> </w:t>
      </w:r>
    </w:p>
    <w:p w14:paraId="59C34A1D" w14:textId="77777777" w:rsidR="004A7984" w:rsidRDefault="004A7984" w:rsidP="004A7984">
      <w:pPr>
        <w:pStyle w:val="ListParagraph"/>
        <w:numPr>
          <w:ilvl w:val="2"/>
          <w:numId w:val="15"/>
        </w:numPr>
        <w:jc w:val="both"/>
      </w:pPr>
      <w:r>
        <w:t xml:space="preserve">Pros: </w:t>
      </w:r>
    </w:p>
    <w:p w14:paraId="33FF1187" w14:textId="0A83CB95" w:rsidR="004A7984" w:rsidRDefault="004A7984" w:rsidP="004A7984">
      <w:pPr>
        <w:pStyle w:val="ListParagraph"/>
        <w:numPr>
          <w:ilvl w:val="3"/>
          <w:numId w:val="15"/>
        </w:numPr>
        <w:jc w:val="both"/>
      </w:pPr>
      <w:r>
        <w:t>Early validity check can be performed for the target cell configurations in time and this can enable the UE and the network to react, e.g., the UE can inform the network about the invalid configuration.</w:t>
      </w:r>
    </w:p>
    <w:p w14:paraId="5B503D76" w14:textId="77777777" w:rsidR="004A7984" w:rsidRDefault="004A7984" w:rsidP="004A7984">
      <w:pPr>
        <w:pStyle w:val="ListParagraph"/>
        <w:numPr>
          <w:ilvl w:val="2"/>
          <w:numId w:val="15"/>
        </w:numPr>
        <w:jc w:val="both"/>
      </w:pPr>
      <w:r>
        <w:t xml:space="preserve">Cons: </w:t>
      </w:r>
    </w:p>
    <w:p w14:paraId="4FE555EB" w14:textId="51A12DF6" w:rsidR="004A7984" w:rsidRDefault="004A7984" w:rsidP="004A7984">
      <w:pPr>
        <w:pStyle w:val="ListParagraph"/>
        <w:numPr>
          <w:ilvl w:val="3"/>
          <w:numId w:val="15"/>
        </w:numPr>
        <w:jc w:val="both"/>
      </w:pPr>
      <w:r>
        <w:t>The validity check will be in the complete configuration</w:t>
      </w:r>
      <w:r w:rsidR="00AB5169">
        <w:t xml:space="preserve"> only in case of complete target cell configuration</w:t>
      </w:r>
      <w:r>
        <w:t xml:space="preserve"> thus risking the full configuration being invalid at the time of execution. In such case the UE/network cannot react to remedy this invalidity</w:t>
      </w:r>
    </w:p>
    <w:p w14:paraId="2A495B32" w14:textId="6FF2FFE4" w:rsidR="00260D94" w:rsidRDefault="004A7984" w:rsidP="00215F67">
      <w:pPr>
        <w:pStyle w:val="ListParagraph"/>
        <w:numPr>
          <w:ilvl w:val="3"/>
          <w:numId w:val="15"/>
        </w:numPr>
        <w:jc w:val="both"/>
      </w:pPr>
      <w:r>
        <w:t>Processing heavy since all the target cell configurations need to be decoded</w:t>
      </w:r>
      <w:r w:rsidR="00B74BFD">
        <w:t>.</w:t>
      </w:r>
    </w:p>
    <w:p w14:paraId="0FCF4EAC" w14:textId="3478DE71" w:rsidR="00B74BFD" w:rsidRDefault="00B74BFD" w:rsidP="00260D94">
      <w:pPr>
        <w:pStyle w:val="Caption"/>
        <w:jc w:val="center"/>
      </w:pPr>
      <w:r>
        <w:rPr>
          <w:noProof/>
        </w:rPr>
        <w:drawing>
          <wp:inline distT="0" distB="0" distL="0" distR="0" wp14:anchorId="30FD391E" wp14:editId="453EEB7C">
            <wp:extent cx="4525541" cy="3420000"/>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25541" cy="3420000"/>
                    </a:xfrm>
                    <a:prstGeom prst="rect">
                      <a:avLst/>
                    </a:prstGeom>
                    <a:noFill/>
                  </pic:spPr>
                </pic:pic>
              </a:graphicData>
            </a:graphic>
          </wp:inline>
        </w:drawing>
      </w:r>
    </w:p>
    <w:p w14:paraId="754357DA" w14:textId="0B712CC6" w:rsidR="00523397" w:rsidRDefault="00097EA7" w:rsidP="00260D94">
      <w:pPr>
        <w:pStyle w:val="Caption"/>
        <w:jc w:val="center"/>
      </w:pPr>
      <w:r>
        <w:t xml:space="preserve">Figure </w:t>
      </w:r>
      <w:r>
        <w:fldChar w:fldCharType="begin"/>
      </w:r>
      <w:r>
        <w:instrText>SEQ Figure \* ARABIC</w:instrText>
      </w:r>
      <w:r>
        <w:fldChar w:fldCharType="separate"/>
      </w:r>
      <w:r w:rsidR="00CB5110">
        <w:rPr>
          <w:noProof/>
        </w:rPr>
        <w:t>3</w:t>
      </w:r>
      <w:r>
        <w:fldChar w:fldCharType="end"/>
      </w:r>
      <w:r>
        <w:t>: Validity check of target cell configurations</w:t>
      </w:r>
      <w:r w:rsidR="00260D94">
        <w:t xml:space="preserve"> with empty or </w:t>
      </w:r>
      <w:r w:rsidR="009D6CA9">
        <w:t>absent</w:t>
      </w:r>
      <w:r w:rsidR="00260D94">
        <w:t xml:space="preserve"> </w:t>
      </w:r>
      <w:r w:rsidR="00260D94" w:rsidRPr="00260D94">
        <w:t xml:space="preserve">Reference </w:t>
      </w:r>
      <w:r w:rsidR="009D6CA9">
        <w:t>c</w:t>
      </w:r>
      <w:r w:rsidR="00260D94" w:rsidRPr="00260D94">
        <w:t xml:space="preserve">onfiguration </w:t>
      </w:r>
    </w:p>
    <w:p w14:paraId="0C713E70" w14:textId="15198AD3" w:rsidR="00186DA7" w:rsidRPr="00567A23" w:rsidRDefault="00186DA7" w:rsidP="00FB62ED">
      <w:pPr>
        <w:jc w:val="both"/>
        <w:rPr>
          <w:b/>
          <w:bCs/>
        </w:rPr>
      </w:pPr>
      <w:r w:rsidRPr="00EF0E9C">
        <w:rPr>
          <w:b/>
          <w:bCs/>
        </w:rPr>
        <w:t xml:space="preserve">Observation </w:t>
      </w:r>
      <w:r w:rsidR="00745EBB" w:rsidRPr="00567A23">
        <w:rPr>
          <w:b/>
          <w:bCs/>
        </w:rPr>
        <w:t>2</w:t>
      </w:r>
      <w:r w:rsidRPr="00567A23">
        <w:rPr>
          <w:b/>
          <w:bCs/>
        </w:rPr>
        <w:t xml:space="preserve">: </w:t>
      </w:r>
      <w:r w:rsidR="00041F10" w:rsidRPr="00567A23">
        <w:rPr>
          <w:b/>
          <w:bCs/>
        </w:rPr>
        <w:t xml:space="preserve">Early validity check </w:t>
      </w:r>
      <w:r w:rsidR="00DF7F90" w:rsidRPr="00567A23">
        <w:rPr>
          <w:b/>
          <w:bCs/>
        </w:rPr>
        <w:t xml:space="preserve">in a complete target cell configuration is possible in case of non-empty reference configuration and delta target cell configurations. </w:t>
      </w:r>
    </w:p>
    <w:p w14:paraId="0047A55B" w14:textId="71B6BE3A" w:rsidR="00161F7E" w:rsidRPr="00567A23" w:rsidRDefault="00DF7F90" w:rsidP="002F6666">
      <w:pPr>
        <w:jc w:val="both"/>
        <w:rPr>
          <w:b/>
          <w:bCs/>
        </w:rPr>
      </w:pPr>
      <w:r w:rsidRPr="00EF0E9C">
        <w:rPr>
          <w:b/>
          <w:bCs/>
        </w:rPr>
        <w:t xml:space="preserve">Observation </w:t>
      </w:r>
      <w:r w:rsidR="00745EBB" w:rsidRPr="00567A23">
        <w:rPr>
          <w:b/>
          <w:bCs/>
        </w:rPr>
        <w:t>3</w:t>
      </w:r>
      <w:r w:rsidRPr="00567A23">
        <w:rPr>
          <w:b/>
          <w:bCs/>
        </w:rPr>
        <w:t>: Early validity check in a complete target cell configuration is possible in case of empty reference configuration and complete target cell configuration.</w:t>
      </w:r>
    </w:p>
    <w:p w14:paraId="7BE1E013" w14:textId="683C0711" w:rsidR="00DF7F90" w:rsidRDefault="00DF7F90" w:rsidP="002F6666">
      <w:pPr>
        <w:jc w:val="both"/>
      </w:pPr>
      <w:r>
        <w:t>As mentioned above, in case the early validity check is possible</w:t>
      </w:r>
      <w:r w:rsidR="003E17CC">
        <w:t>,</w:t>
      </w:r>
      <w:r>
        <w:t xml:space="preserve"> and the UE identifies an inconsistency it can inform the network so as to perform an update in the provided configuration. This will prevent a possible failure at the time of the cell change which may result in handover failure.</w:t>
      </w:r>
    </w:p>
    <w:p w14:paraId="7A0B1E80" w14:textId="734F9F75" w:rsidR="00CB1F7D" w:rsidRDefault="00CB1F7D" w:rsidP="006D20C2">
      <w:pPr>
        <w:pStyle w:val="Heading3"/>
        <w:numPr>
          <w:ilvl w:val="2"/>
          <w:numId w:val="27"/>
        </w:numPr>
      </w:pPr>
      <w:r>
        <w:t>Signalling in case of Early Validity Check Failure</w:t>
      </w:r>
    </w:p>
    <w:p w14:paraId="57412FC4" w14:textId="55C8D87B" w:rsidR="002015E3" w:rsidRPr="001A3CA3" w:rsidRDefault="002015E3" w:rsidP="00856BD7">
      <w:pPr>
        <w:spacing w:after="0"/>
        <w:jc w:val="both"/>
        <w:rPr>
          <w:rFonts w:cs="Arial"/>
          <w:color w:val="000000" w:themeColor="text1"/>
        </w:rPr>
      </w:pPr>
      <w:r w:rsidRPr="001A3CA3">
        <w:rPr>
          <w:rFonts w:cs="Arial"/>
          <w:color w:val="000000" w:themeColor="text1"/>
        </w:rPr>
        <w:t>As proposed above the UE shall perform early validity check before the reception of the cell switch command to identify potential va</w:t>
      </w:r>
      <w:r w:rsidR="00172E15" w:rsidRPr="001A3CA3">
        <w:rPr>
          <w:rFonts w:cs="Arial"/>
          <w:color w:val="000000" w:themeColor="text1"/>
        </w:rPr>
        <w:t>l</w:t>
      </w:r>
      <w:r w:rsidRPr="001A3CA3">
        <w:rPr>
          <w:rFonts w:cs="Arial"/>
          <w:color w:val="000000" w:themeColor="text1"/>
        </w:rPr>
        <w:t xml:space="preserve">idity check failures, since anyway it has to process </w:t>
      </w:r>
      <w:r w:rsidR="007216F7" w:rsidRPr="001A3CA3">
        <w:rPr>
          <w:rFonts w:cs="Arial"/>
          <w:color w:val="000000" w:themeColor="text1"/>
        </w:rPr>
        <w:t xml:space="preserve">(at least partly) </w:t>
      </w:r>
      <w:r w:rsidRPr="001A3CA3">
        <w:rPr>
          <w:rFonts w:cs="Arial"/>
          <w:color w:val="000000" w:themeColor="text1"/>
        </w:rPr>
        <w:t xml:space="preserve">the configuration early in order to reduce the interruption time during the cell switch. </w:t>
      </w:r>
      <w:r w:rsidR="001620D4" w:rsidRPr="001A3CA3">
        <w:rPr>
          <w:rFonts w:cs="Arial"/>
          <w:color w:val="000000" w:themeColor="text1"/>
        </w:rPr>
        <w:t xml:space="preserve"> In existing mobility procedures (classic and conditional handover) if the UE fails in the validation of target configuration UE will trigger re-establishment procedure. But for LTM mobility the validation check </w:t>
      </w:r>
      <w:r w:rsidR="002A3EF4" w:rsidRPr="001A3CA3">
        <w:rPr>
          <w:rFonts w:cs="Arial"/>
          <w:color w:val="000000" w:themeColor="text1"/>
        </w:rPr>
        <w:t>may be</w:t>
      </w:r>
      <w:r w:rsidR="001620D4" w:rsidRPr="001A3CA3">
        <w:rPr>
          <w:rFonts w:cs="Arial"/>
          <w:color w:val="000000" w:themeColor="text1"/>
        </w:rPr>
        <w:t xml:space="preserve"> performed prior to the actual cell-switching command the serving cell radio condition and link is sufficiently good enough, so re-establishment procedure is not needed here that will impact the interruption performance.</w:t>
      </w:r>
    </w:p>
    <w:p w14:paraId="65CF7B8D" w14:textId="20A41A3A" w:rsidR="002015E3" w:rsidRPr="001A3CA3" w:rsidRDefault="002015E3" w:rsidP="007B54CA">
      <w:pPr>
        <w:spacing w:after="0"/>
        <w:jc w:val="both"/>
        <w:rPr>
          <w:rFonts w:cs="Arial"/>
          <w:color w:val="000000" w:themeColor="text1"/>
        </w:rPr>
      </w:pPr>
    </w:p>
    <w:p w14:paraId="3E61C599" w14:textId="1525DA4D" w:rsidR="004339B8" w:rsidRPr="001A3CA3" w:rsidRDefault="00172E15" w:rsidP="007B54CA">
      <w:pPr>
        <w:spacing w:after="0"/>
        <w:jc w:val="both"/>
        <w:rPr>
          <w:rFonts w:cs="Arial"/>
          <w:b/>
          <w:bCs/>
          <w:color w:val="000000" w:themeColor="text1"/>
        </w:rPr>
      </w:pPr>
      <w:r w:rsidRPr="001A3CA3">
        <w:rPr>
          <w:rFonts w:cs="Arial"/>
          <w:b/>
          <w:bCs/>
          <w:color w:val="000000" w:themeColor="text1"/>
        </w:rPr>
        <w:t xml:space="preserve">Observation </w:t>
      </w:r>
      <w:r w:rsidR="007B54CA" w:rsidRPr="001A3CA3">
        <w:rPr>
          <w:rFonts w:cs="Arial"/>
          <w:b/>
          <w:bCs/>
          <w:color w:val="000000" w:themeColor="text1"/>
        </w:rPr>
        <w:t>4</w:t>
      </w:r>
      <w:r w:rsidRPr="001A3CA3">
        <w:rPr>
          <w:rFonts w:cs="Arial"/>
          <w:b/>
          <w:bCs/>
          <w:color w:val="000000" w:themeColor="text1"/>
        </w:rPr>
        <w:t xml:space="preserve">: </w:t>
      </w:r>
      <w:r w:rsidR="001620D4" w:rsidRPr="001A3CA3">
        <w:rPr>
          <w:rFonts w:cs="Arial"/>
          <w:b/>
          <w:bCs/>
          <w:color w:val="000000" w:themeColor="text1"/>
        </w:rPr>
        <w:t xml:space="preserve">RRC Re-establishment as reaction to </w:t>
      </w:r>
      <w:r w:rsidR="00943E05" w:rsidRPr="001A3CA3">
        <w:rPr>
          <w:rFonts w:cs="Arial"/>
          <w:b/>
          <w:bCs/>
          <w:color w:val="000000" w:themeColor="text1"/>
        </w:rPr>
        <w:t xml:space="preserve">a failure encountered during </w:t>
      </w:r>
      <w:r w:rsidR="001620D4" w:rsidRPr="001A3CA3">
        <w:rPr>
          <w:rFonts w:cs="Arial"/>
          <w:b/>
          <w:bCs/>
          <w:color w:val="000000" w:themeColor="text1"/>
        </w:rPr>
        <w:t xml:space="preserve">early validation check will lead to increased interruption </w:t>
      </w:r>
      <w:r w:rsidR="005B4435" w:rsidRPr="001A3CA3">
        <w:rPr>
          <w:rFonts w:cs="Arial"/>
          <w:b/>
          <w:bCs/>
          <w:color w:val="000000" w:themeColor="text1"/>
        </w:rPr>
        <w:t xml:space="preserve">and </w:t>
      </w:r>
      <w:proofErr w:type="spellStart"/>
      <w:r w:rsidR="005B4435" w:rsidRPr="001A3CA3">
        <w:rPr>
          <w:rFonts w:cs="Arial"/>
          <w:b/>
          <w:bCs/>
          <w:color w:val="000000" w:themeColor="text1"/>
        </w:rPr>
        <w:t>signaling</w:t>
      </w:r>
      <w:proofErr w:type="spellEnd"/>
      <w:r w:rsidR="005B4435" w:rsidRPr="001A3CA3">
        <w:rPr>
          <w:rFonts w:cs="Arial"/>
          <w:b/>
          <w:bCs/>
          <w:color w:val="000000" w:themeColor="text1"/>
        </w:rPr>
        <w:t xml:space="preserve"> overhead for LTM.</w:t>
      </w:r>
    </w:p>
    <w:p w14:paraId="70F4F90C" w14:textId="77777777" w:rsidR="002C35F0" w:rsidRPr="001A3CA3" w:rsidRDefault="002C35F0">
      <w:pPr>
        <w:spacing w:after="0"/>
        <w:jc w:val="both"/>
        <w:rPr>
          <w:rFonts w:cs="Arial"/>
          <w:b/>
          <w:bCs/>
          <w:color w:val="000000" w:themeColor="text1"/>
        </w:rPr>
      </w:pPr>
    </w:p>
    <w:p w14:paraId="5F480342" w14:textId="585C7821" w:rsidR="005B4435" w:rsidRPr="001A3CA3" w:rsidRDefault="005B4435">
      <w:pPr>
        <w:spacing w:after="0"/>
        <w:jc w:val="both"/>
        <w:rPr>
          <w:rFonts w:cs="Arial"/>
          <w:color w:val="000000" w:themeColor="text1"/>
        </w:rPr>
      </w:pPr>
      <w:r w:rsidRPr="001A3CA3">
        <w:rPr>
          <w:rFonts w:cs="Arial"/>
          <w:color w:val="000000" w:themeColor="text1"/>
        </w:rPr>
        <w:t>The early validation check may lead to processing overhead at UE if this check needs to be done against all the target configurations. But the UE implementations can optimise the early validation check against the potential target cells for LTM based on recent L1 measurements.</w:t>
      </w:r>
    </w:p>
    <w:p w14:paraId="2C576187" w14:textId="77777777" w:rsidR="002A3EF4" w:rsidRPr="001A3CA3" w:rsidRDefault="002A3EF4">
      <w:pPr>
        <w:spacing w:after="0"/>
        <w:jc w:val="both"/>
        <w:rPr>
          <w:rFonts w:cs="Arial"/>
          <w:color w:val="000000" w:themeColor="text1"/>
        </w:rPr>
      </w:pPr>
    </w:p>
    <w:p w14:paraId="621199AD" w14:textId="1F0C8D62" w:rsidR="002C35F0" w:rsidRPr="001A3CA3" w:rsidRDefault="002A5241">
      <w:pPr>
        <w:spacing w:after="0"/>
        <w:jc w:val="both"/>
        <w:rPr>
          <w:rFonts w:cs="Arial"/>
          <w:b/>
          <w:bCs/>
          <w:color w:val="000000" w:themeColor="text1"/>
        </w:rPr>
      </w:pPr>
      <w:r w:rsidRPr="001A3CA3">
        <w:rPr>
          <w:rFonts w:cs="Arial"/>
          <w:b/>
          <w:bCs/>
          <w:color w:val="000000" w:themeColor="text1"/>
        </w:rPr>
        <w:t xml:space="preserve">Proposal </w:t>
      </w:r>
      <w:r w:rsidR="007B54CA" w:rsidRPr="001A3CA3">
        <w:rPr>
          <w:rFonts w:cs="Arial"/>
          <w:b/>
          <w:bCs/>
          <w:color w:val="000000" w:themeColor="text1"/>
        </w:rPr>
        <w:t>2</w:t>
      </w:r>
      <w:r w:rsidR="002C35F0" w:rsidRPr="001A3CA3">
        <w:rPr>
          <w:rFonts w:cs="Arial"/>
          <w:b/>
          <w:bCs/>
          <w:color w:val="000000" w:themeColor="text1"/>
        </w:rPr>
        <w:t xml:space="preserve">: </w:t>
      </w:r>
      <w:r w:rsidRPr="001A3CA3">
        <w:rPr>
          <w:rFonts w:cs="Arial"/>
          <w:b/>
          <w:bCs/>
          <w:color w:val="000000" w:themeColor="text1"/>
        </w:rPr>
        <w:t xml:space="preserve">If configured by the network the </w:t>
      </w:r>
      <w:r w:rsidR="005B4435" w:rsidRPr="001A3CA3">
        <w:rPr>
          <w:rFonts w:cs="Arial"/>
          <w:b/>
          <w:bCs/>
          <w:color w:val="000000" w:themeColor="text1"/>
        </w:rPr>
        <w:t xml:space="preserve">UE </w:t>
      </w:r>
      <w:r w:rsidRPr="001A3CA3">
        <w:rPr>
          <w:rFonts w:cs="Arial"/>
          <w:b/>
          <w:bCs/>
          <w:color w:val="000000" w:themeColor="text1"/>
        </w:rPr>
        <w:t>can</w:t>
      </w:r>
      <w:r w:rsidR="00673F2B" w:rsidRPr="001A3CA3">
        <w:rPr>
          <w:rFonts w:cs="Arial"/>
          <w:b/>
          <w:bCs/>
          <w:color w:val="000000" w:themeColor="text1"/>
        </w:rPr>
        <w:t xml:space="preserve"> perform early validity check </w:t>
      </w:r>
      <w:r w:rsidR="00F90998" w:rsidRPr="001A3CA3">
        <w:rPr>
          <w:rFonts w:cs="Arial"/>
          <w:b/>
          <w:bCs/>
          <w:color w:val="000000" w:themeColor="text1"/>
        </w:rPr>
        <w:t>on a subset of cells</w:t>
      </w:r>
      <w:r w:rsidR="00CE6C63" w:rsidRPr="001A3CA3">
        <w:rPr>
          <w:rFonts w:cs="Arial"/>
          <w:b/>
          <w:bCs/>
          <w:color w:val="000000" w:themeColor="text1"/>
        </w:rPr>
        <w:t>. The decision</w:t>
      </w:r>
      <w:r w:rsidR="00266898" w:rsidRPr="001A3CA3">
        <w:rPr>
          <w:rFonts w:cs="Arial"/>
          <w:b/>
          <w:bCs/>
          <w:color w:val="000000" w:themeColor="text1"/>
        </w:rPr>
        <w:t xml:space="preserve"> for which cells to perform</w:t>
      </w:r>
      <w:r w:rsidR="00A0409E" w:rsidRPr="001A3CA3">
        <w:rPr>
          <w:rFonts w:cs="Arial"/>
          <w:b/>
          <w:bCs/>
          <w:color w:val="000000" w:themeColor="text1"/>
        </w:rPr>
        <w:t xml:space="preserve"> the early validity check</w:t>
      </w:r>
      <w:r w:rsidR="00CE6C63" w:rsidRPr="001A3CA3">
        <w:rPr>
          <w:rFonts w:cs="Arial"/>
          <w:b/>
          <w:bCs/>
          <w:color w:val="000000" w:themeColor="text1"/>
        </w:rPr>
        <w:t xml:space="preserve"> can </w:t>
      </w:r>
      <w:r w:rsidR="00677F61" w:rsidRPr="001A3CA3">
        <w:rPr>
          <w:rFonts w:cs="Arial"/>
          <w:b/>
          <w:bCs/>
          <w:color w:val="000000" w:themeColor="text1"/>
        </w:rPr>
        <w:t>be</w:t>
      </w:r>
      <w:r w:rsidR="005B4435" w:rsidRPr="001A3CA3">
        <w:rPr>
          <w:rFonts w:cs="Arial"/>
          <w:b/>
          <w:bCs/>
          <w:color w:val="000000" w:themeColor="text1"/>
        </w:rPr>
        <w:t xml:space="preserve"> based on L1 measurements.</w:t>
      </w:r>
    </w:p>
    <w:p w14:paraId="329668E0" w14:textId="77777777" w:rsidR="00436638" w:rsidRPr="001A3CA3" w:rsidRDefault="00436638">
      <w:pPr>
        <w:spacing w:after="0"/>
        <w:jc w:val="both"/>
        <w:rPr>
          <w:rFonts w:cs="Arial"/>
          <w:b/>
          <w:bCs/>
          <w:color w:val="000000" w:themeColor="text1"/>
        </w:rPr>
      </w:pPr>
    </w:p>
    <w:p w14:paraId="62321FF2" w14:textId="2AB4F801" w:rsidR="00436638" w:rsidRPr="001A3CA3" w:rsidRDefault="00953808">
      <w:pPr>
        <w:spacing w:after="0"/>
        <w:jc w:val="both"/>
        <w:rPr>
          <w:rFonts w:cs="Arial"/>
          <w:color w:val="000000" w:themeColor="text1"/>
        </w:rPr>
      </w:pPr>
      <w:r w:rsidRPr="001A3CA3">
        <w:rPr>
          <w:rFonts w:cs="Arial"/>
          <w:color w:val="000000" w:themeColor="text1"/>
        </w:rPr>
        <w:t xml:space="preserve">Since the UE is aware of the validity check failure, </w:t>
      </w:r>
      <w:r w:rsidRPr="001A3CA3">
        <w:rPr>
          <w:color w:val="000000" w:themeColor="text1"/>
          <w:lang w:val="en-US"/>
        </w:rPr>
        <w:t xml:space="preserve">it may inform the network about </w:t>
      </w:r>
      <w:r w:rsidR="00A148ED" w:rsidRPr="001A3CA3">
        <w:rPr>
          <w:color w:val="000000" w:themeColor="text1"/>
          <w:lang w:val="en-US"/>
        </w:rPr>
        <w:t xml:space="preserve">this failure in the validity check. </w:t>
      </w:r>
    </w:p>
    <w:p w14:paraId="3BA85371" w14:textId="77777777" w:rsidR="004339B8" w:rsidRPr="001A3CA3" w:rsidRDefault="004339B8">
      <w:pPr>
        <w:spacing w:after="0"/>
        <w:jc w:val="both"/>
        <w:rPr>
          <w:rFonts w:cs="Arial"/>
          <w:b/>
          <w:bCs/>
          <w:color w:val="000000" w:themeColor="text1"/>
        </w:rPr>
      </w:pPr>
    </w:p>
    <w:p w14:paraId="7186860B" w14:textId="4F393858" w:rsidR="00F611AA" w:rsidRPr="001A3CA3" w:rsidRDefault="00A148ED" w:rsidP="0026293F">
      <w:pPr>
        <w:jc w:val="both"/>
        <w:rPr>
          <w:b/>
          <w:bCs/>
          <w:color w:val="000000" w:themeColor="text1"/>
        </w:rPr>
      </w:pPr>
      <w:r w:rsidRPr="001A3CA3">
        <w:rPr>
          <w:rFonts w:cs="Arial"/>
          <w:b/>
          <w:bCs/>
          <w:color w:val="000000" w:themeColor="text1"/>
        </w:rPr>
        <w:t xml:space="preserve">Proposal </w:t>
      </w:r>
      <w:r w:rsidR="007B54CA" w:rsidRPr="001A3CA3">
        <w:rPr>
          <w:rFonts w:cs="Arial"/>
          <w:b/>
          <w:bCs/>
          <w:color w:val="000000" w:themeColor="text1"/>
        </w:rPr>
        <w:t>3</w:t>
      </w:r>
      <w:r w:rsidRPr="001A3CA3">
        <w:rPr>
          <w:rFonts w:cs="Arial"/>
          <w:b/>
          <w:bCs/>
          <w:color w:val="000000" w:themeColor="text1"/>
        </w:rPr>
        <w:t xml:space="preserve">: </w:t>
      </w:r>
      <w:r w:rsidRPr="001A3CA3">
        <w:rPr>
          <w:rFonts w:cs="Arial"/>
          <w:b/>
          <w:color w:val="000000" w:themeColor="text1"/>
        </w:rPr>
        <w:t xml:space="preserve">RAN2 to specify the signalling to enable the </w:t>
      </w:r>
      <w:r w:rsidR="00172E15" w:rsidRPr="001A3CA3">
        <w:rPr>
          <w:rFonts w:cs="Arial"/>
          <w:b/>
          <w:color w:val="000000" w:themeColor="text1"/>
        </w:rPr>
        <w:t xml:space="preserve">UE </w:t>
      </w:r>
      <w:r w:rsidR="008B0AFB">
        <w:rPr>
          <w:rFonts w:cs="Arial"/>
          <w:b/>
          <w:color w:val="000000" w:themeColor="text1"/>
        </w:rPr>
        <w:t xml:space="preserve">to </w:t>
      </w:r>
      <w:r w:rsidRPr="001A3CA3">
        <w:rPr>
          <w:rFonts w:cs="Arial"/>
          <w:b/>
          <w:color w:val="000000" w:themeColor="text1"/>
        </w:rPr>
        <w:t xml:space="preserve">inform the network </w:t>
      </w:r>
      <w:r w:rsidRPr="001A3CA3">
        <w:rPr>
          <w:rFonts w:cs="Arial"/>
          <w:b/>
          <w:bCs/>
          <w:color w:val="000000" w:themeColor="text1"/>
        </w:rPr>
        <w:t>about</w:t>
      </w:r>
      <w:r w:rsidR="00172E15" w:rsidRPr="001A3CA3">
        <w:rPr>
          <w:rFonts w:cs="Arial"/>
          <w:b/>
          <w:bCs/>
          <w:color w:val="000000" w:themeColor="text1"/>
        </w:rPr>
        <w:t xml:space="preserve"> va</w:t>
      </w:r>
      <w:r w:rsidR="00172E15" w:rsidRPr="001A3CA3">
        <w:rPr>
          <w:rFonts w:cs="Arial"/>
          <w:b/>
          <w:color w:val="000000" w:themeColor="text1"/>
        </w:rPr>
        <w:t xml:space="preserve">lidity </w:t>
      </w:r>
      <w:r w:rsidR="00115364" w:rsidRPr="001A3CA3">
        <w:rPr>
          <w:rFonts w:cs="Arial"/>
          <w:b/>
          <w:color w:val="000000" w:themeColor="text1"/>
        </w:rPr>
        <w:t xml:space="preserve">and/or the validity check failure </w:t>
      </w:r>
      <w:r w:rsidRPr="001A3CA3">
        <w:rPr>
          <w:rFonts w:cs="Arial"/>
          <w:b/>
          <w:color w:val="000000" w:themeColor="text1"/>
        </w:rPr>
        <w:t>the configuration of prepared cells</w:t>
      </w:r>
      <w:r w:rsidR="00172E15" w:rsidRPr="001A3CA3">
        <w:rPr>
          <w:rFonts w:cs="Arial"/>
          <w:b/>
          <w:color w:val="000000" w:themeColor="text1"/>
        </w:rPr>
        <w:t>.</w:t>
      </w:r>
      <w:r w:rsidR="000D2065" w:rsidRPr="001A3CA3">
        <w:rPr>
          <w:rFonts w:cs="Arial"/>
          <w:b/>
          <w:color w:val="000000" w:themeColor="text1"/>
        </w:rPr>
        <w:t xml:space="preserve"> Failure Information </w:t>
      </w:r>
      <w:r w:rsidR="00514F04" w:rsidRPr="001A3CA3">
        <w:rPr>
          <w:rFonts w:cs="Arial"/>
          <w:b/>
          <w:color w:val="000000" w:themeColor="text1"/>
        </w:rPr>
        <w:t xml:space="preserve">with no subsequent </w:t>
      </w:r>
      <w:r w:rsidR="00741069" w:rsidRPr="001A3CA3">
        <w:rPr>
          <w:rFonts w:cs="Arial"/>
          <w:b/>
          <w:color w:val="000000" w:themeColor="text1"/>
        </w:rPr>
        <w:t>re-</w:t>
      </w:r>
      <w:r w:rsidR="00856BD7" w:rsidRPr="001A3CA3">
        <w:rPr>
          <w:rFonts w:cs="Arial"/>
          <w:b/>
          <w:color w:val="000000" w:themeColor="text1"/>
        </w:rPr>
        <w:t>establishment</w:t>
      </w:r>
      <w:r w:rsidR="00741069" w:rsidRPr="001A3CA3">
        <w:rPr>
          <w:rFonts w:cs="Arial"/>
          <w:b/>
          <w:color w:val="000000" w:themeColor="text1"/>
        </w:rPr>
        <w:t xml:space="preserve"> can be </w:t>
      </w:r>
      <w:r w:rsidR="002E3D4A" w:rsidRPr="001A3CA3">
        <w:rPr>
          <w:rFonts w:cs="Arial"/>
          <w:b/>
          <w:color w:val="000000" w:themeColor="text1"/>
        </w:rPr>
        <w:t>u</w:t>
      </w:r>
      <w:r w:rsidR="00741069" w:rsidRPr="001A3CA3">
        <w:rPr>
          <w:rFonts w:cs="Arial"/>
          <w:b/>
          <w:color w:val="000000" w:themeColor="text1"/>
        </w:rPr>
        <w:t xml:space="preserve">sed for </w:t>
      </w:r>
      <w:r w:rsidR="00856BD7" w:rsidRPr="001A3CA3">
        <w:rPr>
          <w:rFonts w:cs="Arial"/>
          <w:b/>
          <w:color w:val="000000" w:themeColor="text1"/>
        </w:rPr>
        <w:t>informing the network.</w:t>
      </w:r>
    </w:p>
    <w:p w14:paraId="69B7B8E6" w14:textId="69E07FC9" w:rsidR="009339CB" w:rsidRPr="001A3CA3" w:rsidRDefault="005A13AB" w:rsidP="009339CB">
      <w:pPr>
        <w:pStyle w:val="Heading1"/>
        <w:rPr>
          <w:color w:val="000000" w:themeColor="text1"/>
        </w:rPr>
      </w:pPr>
      <w:r w:rsidRPr="001A3CA3">
        <w:rPr>
          <w:color w:val="000000" w:themeColor="text1"/>
        </w:rPr>
        <w:t>3</w:t>
      </w:r>
      <w:r w:rsidR="009339CB" w:rsidRPr="001A3CA3">
        <w:rPr>
          <w:color w:val="000000" w:themeColor="text1"/>
        </w:rPr>
        <w:tab/>
        <w:t>Conclusion</w:t>
      </w:r>
    </w:p>
    <w:p w14:paraId="6E24B0F4" w14:textId="7CE0C7DC" w:rsidR="009339CB" w:rsidRPr="001A3CA3" w:rsidRDefault="009339CB" w:rsidP="00B84155">
      <w:pPr>
        <w:jc w:val="both"/>
        <w:rPr>
          <w:color w:val="000000" w:themeColor="text1"/>
        </w:rPr>
      </w:pPr>
      <w:r w:rsidRPr="001A3CA3">
        <w:rPr>
          <w:color w:val="000000" w:themeColor="text1"/>
        </w:rPr>
        <w:t>This document has made the following observations:</w:t>
      </w:r>
    </w:p>
    <w:p w14:paraId="5CF68516" w14:textId="77777777" w:rsidR="00091652" w:rsidRPr="001A3CA3" w:rsidDel="00B7069B" w:rsidRDefault="00091652" w:rsidP="00091652">
      <w:pPr>
        <w:jc w:val="both"/>
        <w:rPr>
          <w:b/>
          <w:bCs/>
          <w:color w:val="000000" w:themeColor="text1"/>
        </w:rPr>
      </w:pPr>
      <w:r w:rsidRPr="001A3CA3" w:rsidDel="00B7069B">
        <w:rPr>
          <w:b/>
          <w:bCs/>
          <w:color w:val="000000" w:themeColor="text1"/>
        </w:rPr>
        <w:t xml:space="preserve">Observation </w:t>
      </w:r>
      <w:r w:rsidRPr="001A3CA3">
        <w:rPr>
          <w:b/>
          <w:bCs/>
          <w:color w:val="000000" w:themeColor="text1"/>
        </w:rPr>
        <w:t>1</w:t>
      </w:r>
      <w:r w:rsidRPr="001A3CA3" w:rsidDel="00B7069B">
        <w:rPr>
          <w:b/>
          <w:bCs/>
          <w:color w:val="000000" w:themeColor="text1"/>
        </w:rPr>
        <w:t xml:space="preserve">: The previous agreements indicate that the in case Reference is empty the Target cell configuration is a complete configuration. </w:t>
      </w:r>
    </w:p>
    <w:p w14:paraId="4529A26C" w14:textId="77777777" w:rsidR="00E704F3" w:rsidRPr="001A3CA3" w:rsidRDefault="00E704F3" w:rsidP="00E704F3">
      <w:pPr>
        <w:jc w:val="both"/>
        <w:rPr>
          <w:b/>
          <w:bCs/>
          <w:color w:val="000000" w:themeColor="text1"/>
        </w:rPr>
      </w:pPr>
      <w:r w:rsidRPr="001A3CA3">
        <w:rPr>
          <w:b/>
          <w:bCs/>
          <w:color w:val="000000" w:themeColor="text1"/>
        </w:rPr>
        <w:t xml:space="preserve">Observation 2: Early validity check in a complete target cell configuration is possible in case of non-empty reference configuration and delta target cell configurations. </w:t>
      </w:r>
    </w:p>
    <w:p w14:paraId="6948D1FD" w14:textId="77777777" w:rsidR="00E704F3" w:rsidRPr="001A3CA3" w:rsidRDefault="00E704F3" w:rsidP="00E704F3">
      <w:pPr>
        <w:jc w:val="both"/>
        <w:rPr>
          <w:b/>
          <w:bCs/>
          <w:color w:val="000000" w:themeColor="text1"/>
        </w:rPr>
      </w:pPr>
      <w:r w:rsidRPr="001A3CA3">
        <w:rPr>
          <w:b/>
          <w:bCs/>
          <w:color w:val="000000" w:themeColor="text1"/>
        </w:rPr>
        <w:t>Observation 3: Early validity check in a complete target cell configuration is possible in case of empty reference configuration and complete target cell configuration.</w:t>
      </w:r>
    </w:p>
    <w:p w14:paraId="2033954F" w14:textId="63BF2B1D" w:rsidR="00707A15" w:rsidRPr="008B0AFB" w:rsidRDefault="002E1A6F">
      <w:pPr>
        <w:jc w:val="both"/>
        <w:rPr>
          <w:b/>
          <w:bCs/>
          <w:color w:val="000000" w:themeColor="text1"/>
        </w:rPr>
      </w:pPr>
      <w:r w:rsidRPr="001A3CA3">
        <w:rPr>
          <w:b/>
          <w:bCs/>
          <w:color w:val="000000" w:themeColor="text1"/>
        </w:rPr>
        <w:t xml:space="preserve">Observation 4: RRC Re-establishment as reaction to a failure encountered during early validation check will lead to increased interruption and </w:t>
      </w:r>
      <w:proofErr w:type="spellStart"/>
      <w:r w:rsidRPr="001A3CA3">
        <w:rPr>
          <w:b/>
          <w:bCs/>
          <w:color w:val="000000" w:themeColor="text1"/>
        </w:rPr>
        <w:t>signaling</w:t>
      </w:r>
      <w:proofErr w:type="spellEnd"/>
      <w:r w:rsidRPr="001A3CA3">
        <w:rPr>
          <w:b/>
          <w:bCs/>
          <w:color w:val="000000" w:themeColor="text1"/>
        </w:rPr>
        <w:t xml:space="preserve"> overhead for LTM.</w:t>
      </w:r>
    </w:p>
    <w:p w14:paraId="0941066E" w14:textId="0429B02A" w:rsidR="002E1A6F" w:rsidRPr="001A3CA3" w:rsidRDefault="002E1A6F" w:rsidP="00707A15">
      <w:pPr>
        <w:jc w:val="both"/>
        <w:rPr>
          <w:color w:val="000000" w:themeColor="text1"/>
        </w:rPr>
      </w:pPr>
      <w:r w:rsidRPr="001A3CA3">
        <w:rPr>
          <w:color w:val="000000" w:themeColor="text1"/>
        </w:rPr>
        <w:t>And the following proposals</w:t>
      </w:r>
      <w:r w:rsidR="00707A15" w:rsidRPr="001A3CA3">
        <w:rPr>
          <w:color w:val="000000" w:themeColor="text1"/>
        </w:rPr>
        <w:t>:</w:t>
      </w:r>
    </w:p>
    <w:p w14:paraId="78962B82" w14:textId="77777777" w:rsidR="00091652" w:rsidRPr="001A3CA3" w:rsidRDefault="00091652" w:rsidP="00091652">
      <w:pPr>
        <w:jc w:val="both"/>
        <w:rPr>
          <w:b/>
          <w:bCs/>
          <w:color w:val="000000" w:themeColor="text1"/>
        </w:rPr>
      </w:pPr>
      <w:r w:rsidRPr="001A3CA3">
        <w:rPr>
          <w:b/>
          <w:bCs/>
          <w:color w:val="000000" w:themeColor="text1"/>
        </w:rPr>
        <w:t>Proposal 1: RAN2 to confirm the previous agreements that Reference configuration empty, target cells configurations are complete configurations in dynamic switching.</w:t>
      </w:r>
    </w:p>
    <w:p w14:paraId="1EA06ADA" w14:textId="0495D135" w:rsidR="002E1A6F" w:rsidRPr="001A3CA3" w:rsidRDefault="002E1A6F" w:rsidP="00B84155">
      <w:pPr>
        <w:jc w:val="both"/>
        <w:rPr>
          <w:b/>
          <w:bCs/>
          <w:color w:val="000000" w:themeColor="text1"/>
        </w:rPr>
      </w:pPr>
      <w:r w:rsidRPr="001A3CA3">
        <w:rPr>
          <w:b/>
          <w:bCs/>
          <w:color w:val="000000" w:themeColor="text1"/>
        </w:rPr>
        <w:t xml:space="preserve">Proposal 2: If configured by the network the UE can perform early validity check on a subset of cells. The decision </w:t>
      </w:r>
      <w:r w:rsidR="008573A1" w:rsidRPr="001A3CA3">
        <w:rPr>
          <w:rFonts w:cs="Arial"/>
          <w:b/>
          <w:bCs/>
          <w:color w:val="000000" w:themeColor="text1"/>
        </w:rPr>
        <w:t>for which cells to perform the early validity check</w:t>
      </w:r>
      <w:r w:rsidR="00B43596" w:rsidRPr="001A3CA3">
        <w:rPr>
          <w:rFonts w:cs="Arial"/>
          <w:b/>
          <w:bCs/>
          <w:color w:val="000000" w:themeColor="text1"/>
        </w:rPr>
        <w:t xml:space="preserve"> </w:t>
      </w:r>
      <w:r w:rsidRPr="001A3CA3">
        <w:rPr>
          <w:b/>
          <w:bCs/>
          <w:color w:val="000000" w:themeColor="text1"/>
        </w:rPr>
        <w:t>can be based on L1 measurements.</w:t>
      </w:r>
    </w:p>
    <w:p w14:paraId="25693F71" w14:textId="371E011D" w:rsidR="002E1A6F" w:rsidRPr="008B0AFB" w:rsidRDefault="002E1A6F" w:rsidP="003E17CC">
      <w:pPr>
        <w:jc w:val="both"/>
        <w:rPr>
          <w:b/>
          <w:bCs/>
          <w:color w:val="000000" w:themeColor="text1"/>
        </w:rPr>
      </w:pPr>
      <w:r w:rsidRPr="001A3CA3">
        <w:rPr>
          <w:b/>
          <w:bCs/>
          <w:color w:val="000000" w:themeColor="text1"/>
        </w:rPr>
        <w:t xml:space="preserve">Proposal 3: RAN2 to specify the signalling to enable the UE </w:t>
      </w:r>
      <w:r w:rsidR="008B0AFB">
        <w:rPr>
          <w:b/>
          <w:bCs/>
          <w:color w:val="000000" w:themeColor="text1"/>
        </w:rPr>
        <w:t xml:space="preserve">to </w:t>
      </w:r>
      <w:r w:rsidRPr="001A3CA3">
        <w:rPr>
          <w:b/>
          <w:bCs/>
          <w:color w:val="000000" w:themeColor="text1"/>
        </w:rPr>
        <w:t>inform the network about validity and/or the validity check failure the configuration of prepared cells. Failure Information with no subsequent re-establishment can be used for informing the network.</w:t>
      </w:r>
    </w:p>
    <w:p w14:paraId="1E34B840" w14:textId="460B7AC1" w:rsidR="00AD7278" w:rsidRPr="001A3CA3" w:rsidRDefault="00AD7278" w:rsidP="00AD7278">
      <w:pPr>
        <w:pStyle w:val="Heading1"/>
        <w:rPr>
          <w:color w:val="000000" w:themeColor="text1"/>
        </w:rPr>
      </w:pPr>
      <w:r w:rsidRPr="001A3CA3">
        <w:rPr>
          <w:color w:val="000000" w:themeColor="text1"/>
        </w:rPr>
        <w:t>4</w:t>
      </w:r>
      <w:r w:rsidRPr="001A3CA3">
        <w:rPr>
          <w:color w:val="000000" w:themeColor="text1"/>
        </w:rPr>
        <w:tab/>
        <w:t>References</w:t>
      </w:r>
    </w:p>
    <w:p w14:paraId="35F222F4" w14:textId="71E20709" w:rsidR="00080512" w:rsidRPr="001A3CA3" w:rsidRDefault="00AD7278" w:rsidP="009339CB">
      <w:pPr>
        <w:rPr>
          <w:color w:val="000000" w:themeColor="text1"/>
        </w:rPr>
      </w:pPr>
      <w:r w:rsidRPr="001A3CA3">
        <w:rPr>
          <w:color w:val="000000" w:themeColor="text1"/>
        </w:rPr>
        <w:t xml:space="preserve">[1] </w:t>
      </w:r>
      <w:r w:rsidRPr="001A3CA3">
        <w:rPr>
          <w:color w:val="000000" w:themeColor="text1"/>
        </w:rPr>
        <w:tab/>
      </w:r>
      <w:r w:rsidR="006B598E" w:rsidRPr="001A3CA3">
        <w:rPr>
          <w:color w:val="000000" w:themeColor="text1"/>
        </w:rPr>
        <w:tab/>
      </w:r>
      <w:r w:rsidRPr="001A3CA3">
        <w:rPr>
          <w:color w:val="000000" w:themeColor="text1"/>
        </w:rPr>
        <w:t>R2_121 Chair Notes 2023-03-03 EOM</w:t>
      </w:r>
    </w:p>
    <w:p w14:paraId="315DAF65" w14:textId="25181D10" w:rsidR="00CB2241" w:rsidRPr="001A3CA3" w:rsidRDefault="00CB2241" w:rsidP="009339CB">
      <w:pPr>
        <w:rPr>
          <w:color w:val="000000" w:themeColor="text1"/>
          <w:lang w:val="de-DE"/>
        </w:rPr>
      </w:pPr>
      <w:r w:rsidRPr="001A3CA3">
        <w:rPr>
          <w:color w:val="000000" w:themeColor="text1"/>
          <w:lang w:val="de-DE"/>
        </w:rPr>
        <w:t>[2]</w:t>
      </w:r>
      <w:r w:rsidRPr="001A3CA3">
        <w:rPr>
          <w:color w:val="000000" w:themeColor="text1"/>
          <w:lang w:val="de-DE"/>
        </w:rPr>
        <w:tab/>
      </w:r>
      <w:r w:rsidRPr="001A3CA3">
        <w:rPr>
          <w:color w:val="000000" w:themeColor="text1"/>
          <w:lang w:val="de-DE"/>
        </w:rPr>
        <w:tab/>
      </w:r>
      <w:r w:rsidR="001947DC" w:rsidRPr="001A3CA3">
        <w:rPr>
          <w:color w:val="000000" w:themeColor="text1"/>
          <w:lang w:val="de-DE"/>
        </w:rPr>
        <w:t xml:space="preserve">R2_121bis-e </w:t>
      </w:r>
      <w:proofErr w:type="spellStart"/>
      <w:r w:rsidR="001947DC" w:rsidRPr="001A3CA3">
        <w:rPr>
          <w:color w:val="000000" w:themeColor="text1"/>
          <w:lang w:val="de-DE"/>
        </w:rPr>
        <w:t>Chair</w:t>
      </w:r>
      <w:proofErr w:type="spellEnd"/>
      <w:r w:rsidR="001947DC" w:rsidRPr="001A3CA3">
        <w:rPr>
          <w:color w:val="000000" w:themeColor="text1"/>
          <w:lang w:val="de-DE"/>
        </w:rPr>
        <w:t xml:space="preserve"> Notes EOM.docx</w:t>
      </w:r>
    </w:p>
    <w:sectPr w:rsidR="00CB2241" w:rsidRPr="001A3C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0F71" w14:textId="77777777" w:rsidR="008F7607" w:rsidRDefault="008F7607">
      <w:r>
        <w:separator/>
      </w:r>
    </w:p>
  </w:endnote>
  <w:endnote w:type="continuationSeparator" w:id="0">
    <w:p w14:paraId="795EA3AB" w14:textId="77777777" w:rsidR="008F7607" w:rsidRDefault="008F7607">
      <w:r>
        <w:continuationSeparator/>
      </w:r>
    </w:p>
  </w:endnote>
  <w:endnote w:type="continuationNotice" w:id="1">
    <w:p w14:paraId="775321D4" w14:textId="77777777" w:rsidR="008F7607" w:rsidRDefault="008F7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06E61" w14:textId="77777777" w:rsidR="008F7607" w:rsidRDefault="008F7607">
      <w:r>
        <w:separator/>
      </w:r>
    </w:p>
  </w:footnote>
  <w:footnote w:type="continuationSeparator" w:id="0">
    <w:p w14:paraId="6A85CDB6" w14:textId="77777777" w:rsidR="008F7607" w:rsidRDefault="008F7607">
      <w:r>
        <w:continuationSeparator/>
      </w:r>
    </w:p>
  </w:footnote>
  <w:footnote w:type="continuationNotice" w:id="1">
    <w:p w14:paraId="4F43B874" w14:textId="77777777" w:rsidR="008F7607" w:rsidRDefault="008F76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0193B"/>
    <w:multiLevelType w:val="multilevel"/>
    <w:tmpl w:val="5CD61792"/>
    <w:lvl w:ilvl="0">
      <w:start w:val="2"/>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9966B29"/>
    <w:multiLevelType w:val="hybridMultilevel"/>
    <w:tmpl w:val="C4F465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40345EC4"/>
    <w:multiLevelType w:val="hybridMultilevel"/>
    <w:tmpl w:val="DA4E8B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9410342"/>
    <w:multiLevelType w:val="hybridMultilevel"/>
    <w:tmpl w:val="07A6E6C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374C78"/>
    <w:multiLevelType w:val="hybridMultilevel"/>
    <w:tmpl w:val="DA4E8B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542142D"/>
    <w:multiLevelType w:val="hybridMultilevel"/>
    <w:tmpl w:val="53AC627C"/>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0783988"/>
    <w:multiLevelType w:val="hybridMultilevel"/>
    <w:tmpl w:val="758C0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C17A0B"/>
    <w:multiLevelType w:val="hybridMultilevel"/>
    <w:tmpl w:val="6D2CC15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63144A4"/>
    <w:multiLevelType w:val="hybridMultilevel"/>
    <w:tmpl w:val="327C41DA"/>
    <w:lvl w:ilvl="0" w:tplc="04070011">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A2F6115"/>
    <w:multiLevelType w:val="hybridMultilevel"/>
    <w:tmpl w:val="07A6E6C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64305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23467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9198422">
    <w:abstractNumId w:val="1"/>
  </w:num>
  <w:num w:numId="4" w16cid:durableId="1979217417">
    <w:abstractNumId w:val="4"/>
  </w:num>
  <w:num w:numId="5" w16cid:durableId="2104842267">
    <w:abstractNumId w:val="3"/>
  </w:num>
  <w:num w:numId="6" w16cid:durableId="1513689094">
    <w:abstractNumId w:val="8"/>
  </w:num>
  <w:num w:numId="7" w16cid:durableId="1768577220">
    <w:abstractNumId w:val="9"/>
  </w:num>
  <w:num w:numId="8" w16cid:durableId="275868927">
    <w:abstractNumId w:val="16"/>
  </w:num>
  <w:num w:numId="9" w16cid:durableId="1047492935">
    <w:abstractNumId w:val="16"/>
  </w:num>
  <w:num w:numId="10" w16cid:durableId="1669290946">
    <w:abstractNumId w:val="16"/>
  </w:num>
  <w:num w:numId="11" w16cid:durableId="1736777567">
    <w:abstractNumId w:val="13"/>
  </w:num>
  <w:num w:numId="12" w16cid:durableId="1088234937">
    <w:abstractNumId w:val="15"/>
  </w:num>
  <w:num w:numId="13" w16cid:durableId="1552383677">
    <w:abstractNumId w:val="14"/>
  </w:num>
  <w:num w:numId="14" w16cid:durableId="1675305402">
    <w:abstractNumId w:val="7"/>
  </w:num>
  <w:num w:numId="15" w16cid:durableId="374813706">
    <w:abstractNumId w:val="11"/>
  </w:num>
  <w:num w:numId="16" w16cid:durableId="7685444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7222438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675569737">
    <w:abstractNumId w:val="12"/>
  </w:num>
  <w:num w:numId="19" w16cid:durableId="6602784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5469119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3083919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2420621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294097908">
    <w:abstractNumId w:val="16"/>
  </w:num>
  <w:num w:numId="24" w16cid:durableId="695887015">
    <w:abstractNumId w:val="16"/>
  </w:num>
  <w:num w:numId="25" w16cid:durableId="690299453">
    <w:abstractNumId w:val="6"/>
  </w:num>
  <w:num w:numId="26" w16cid:durableId="1057583564">
    <w:abstractNumId w:val="5"/>
  </w:num>
  <w:num w:numId="27" w16cid:durableId="1930695036">
    <w:abstractNumId w:val="2"/>
  </w:num>
  <w:num w:numId="28" w16cid:durableId="194380610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02"/>
    <w:rsid w:val="00006C10"/>
    <w:rsid w:val="00013CB4"/>
    <w:rsid w:val="00016557"/>
    <w:rsid w:val="00023C40"/>
    <w:rsid w:val="00032D92"/>
    <w:rsid w:val="00033397"/>
    <w:rsid w:val="000347F8"/>
    <w:rsid w:val="000363EB"/>
    <w:rsid w:val="00040095"/>
    <w:rsid w:val="00041F10"/>
    <w:rsid w:val="000440AC"/>
    <w:rsid w:val="00046110"/>
    <w:rsid w:val="0004646F"/>
    <w:rsid w:val="00055D19"/>
    <w:rsid w:val="00065268"/>
    <w:rsid w:val="00065F9A"/>
    <w:rsid w:val="00073C9C"/>
    <w:rsid w:val="00076412"/>
    <w:rsid w:val="00080512"/>
    <w:rsid w:val="0008147F"/>
    <w:rsid w:val="000822FB"/>
    <w:rsid w:val="00090468"/>
    <w:rsid w:val="00091652"/>
    <w:rsid w:val="00092233"/>
    <w:rsid w:val="00094568"/>
    <w:rsid w:val="00097EA7"/>
    <w:rsid w:val="000A454A"/>
    <w:rsid w:val="000B7347"/>
    <w:rsid w:val="000B7BCF"/>
    <w:rsid w:val="000B7BFF"/>
    <w:rsid w:val="000C522B"/>
    <w:rsid w:val="000C66B5"/>
    <w:rsid w:val="000C767A"/>
    <w:rsid w:val="000D2065"/>
    <w:rsid w:val="000D3057"/>
    <w:rsid w:val="000D42EB"/>
    <w:rsid w:val="000D58AB"/>
    <w:rsid w:val="000E3ECB"/>
    <w:rsid w:val="000F09FD"/>
    <w:rsid w:val="000F75D3"/>
    <w:rsid w:val="00102971"/>
    <w:rsid w:val="00107BA6"/>
    <w:rsid w:val="0011079C"/>
    <w:rsid w:val="00112F1A"/>
    <w:rsid w:val="00115364"/>
    <w:rsid w:val="00121C7A"/>
    <w:rsid w:val="0012473B"/>
    <w:rsid w:val="00124928"/>
    <w:rsid w:val="00135A39"/>
    <w:rsid w:val="00136E92"/>
    <w:rsid w:val="00143BE2"/>
    <w:rsid w:val="001442C0"/>
    <w:rsid w:val="00145075"/>
    <w:rsid w:val="00154143"/>
    <w:rsid w:val="00161F7E"/>
    <w:rsid w:val="001620D4"/>
    <w:rsid w:val="001638C6"/>
    <w:rsid w:val="001669E8"/>
    <w:rsid w:val="00172E15"/>
    <w:rsid w:val="001741A0"/>
    <w:rsid w:val="00175FA0"/>
    <w:rsid w:val="001860DE"/>
    <w:rsid w:val="00186DA7"/>
    <w:rsid w:val="00190088"/>
    <w:rsid w:val="00190643"/>
    <w:rsid w:val="00192313"/>
    <w:rsid w:val="001947DC"/>
    <w:rsid w:val="00194CD0"/>
    <w:rsid w:val="001A3CA3"/>
    <w:rsid w:val="001B2B79"/>
    <w:rsid w:val="001B49C9"/>
    <w:rsid w:val="001B4E08"/>
    <w:rsid w:val="001C23F4"/>
    <w:rsid w:val="001C2C74"/>
    <w:rsid w:val="001C4F79"/>
    <w:rsid w:val="001E1F27"/>
    <w:rsid w:val="001E3475"/>
    <w:rsid w:val="001E5523"/>
    <w:rsid w:val="001F158C"/>
    <w:rsid w:val="001F168B"/>
    <w:rsid w:val="001F7831"/>
    <w:rsid w:val="00200072"/>
    <w:rsid w:val="002015E3"/>
    <w:rsid w:val="00201655"/>
    <w:rsid w:val="00202F77"/>
    <w:rsid w:val="00204045"/>
    <w:rsid w:val="0020712B"/>
    <w:rsid w:val="002071E9"/>
    <w:rsid w:val="00215F67"/>
    <w:rsid w:val="002178E7"/>
    <w:rsid w:val="00221A52"/>
    <w:rsid w:val="00221E7B"/>
    <w:rsid w:val="0022606D"/>
    <w:rsid w:val="00231728"/>
    <w:rsid w:val="00237EDC"/>
    <w:rsid w:val="00243557"/>
    <w:rsid w:val="00244A05"/>
    <w:rsid w:val="002461CA"/>
    <w:rsid w:val="00250404"/>
    <w:rsid w:val="002554B9"/>
    <w:rsid w:val="00256B74"/>
    <w:rsid w:val="00260D94"/>
    <w:rsid w:val="002610D8"/>
    <w:rsid w:val="0026293F"/>
    <w:rsid w:val="00264309"/>
    <w:rsid w:val="00266898"/>
    <w:rsid w:val="002671CD"/>
    <w:rsid w:val="002734B4"/>
    <w:rsid w:val="002747EC"/>
    <w:rsid w:val="0028150D"/>
    <w:rsid w:val="002855BF"/>
    <w:rsid w:val="002861A1"/>
    <w:rsid w:val="00286B98"/>
    <w:rsid w:val="00294CBF"/>
    <w:rsid w:val="002A3EF4"/>
    <w:rsid w:val="002A5241"/>
    <w:rsid w:val="002B056A"/>
    <w:rsid w:val="002B2988"/>
    <w:rsid w:val="002B4DEC"/>
    <w:rsid w:val="002B5842"/>
    <w:rsid w:val="002C35F0"/>
    <w:rsid w:val="002C3957"/>
    <w:rsid w:val="002C7D88"/>
    <w:rsid w:val="002D0F94"/>
    <w:rsid w:val="002D24EC"/>
    <w:rsid w:val="002E1A6F"/>
    <w:rsid w:val="002E3D4A"/>
    <w:rsid w:val="002F0D22"/>
    <w:rsid w:val="002F356C"/>
    <w:rsid w:val="002F6666"/>
    <w:rsid w:val="002F6AA3"/>
    <w:rsid w:val="002F7C40"/>
    <w:rsid w:val="00311B17"/>
    <w:rsid w:val="00313EEF"/>
    <w:rsid w:val="003172DC"/>
    <w:rsid w:val="0032461A"/>
    <w:rsid w:val="00325AE3"/>
    <w:rsid w:val="00326069"/>
    <w:rsid w:val="003325F2"/>
    <w:rsid w:val="00340FD6"/>
    <w:rsid w:val="00351B69"/>
    <w:rsid w:val="003535EF"/>
    <w:rsid w:val="0035462D"/>
    <w:rsid w:val="0036459E"/>
    <w:rsid w:val="00364B41"/>
    <w:rsid w:val="00366EAF"/>
    <w:rsid w:val="00372634"/>
    <w:rsid w:val="003743BD"/>
    <w:rsid w:val="003756EF"/>
    <w:rsid w:val="00383096"/>
    <w:rsid w:val="0039346C"/>
    <w:rsid w:val="003A211A"/>
    <w:rsid w:val="003A41EF"/>
    <w:rsid w:val="003A6338"/>
    <w:rsid w:val="003A701A"/>
    <w:rsid w:val="003A7A95"/>
    <w:rsid w:val="003B40AD"/>
    <w:rsid w:val="003B7FB5"/>
    <w:rsid w:val="003C4E37"/>
    <w:rsid w:val="003C668B"/>
    <w:rsid w:val="003D0FD0"/>
    <w:rsid w:val="003D1B14"/>
    <w:rsid w:val="003D4035"/>
    <w:rsid w:val="003E148F"/>
    <w:rsid w:val="003E16BE"/>
    <w:rsid w:val="003E17CC"/>
    <w:rsid w:val="003E3B56"/>
    <w:rsid w:val="003F3B95"/>
    <w:rsid w:val="003F4E28"/>
    <w:rsid w:val="004006E8"/>
    <w:rsid w:val="00401855"/>
    <w:rsid w:val="00404309"/>
    <w:rsid w:val="00406A5A"/>
    <w:rsid w:val="00411F11"/>
    <w:rsid w:val="0042268B"/>
    <w:rsid w:val="0043148A"/>
    <w:rsid w:val="004339B8"/>
    <w:rsid w:val="00436638"/>
    <w:rsid w:val="0043687A"/>
    <w:rsid w:val="00445E23"/>
    <w:rsid w:val="00446C3A"/>
    <w:rsid w:val="004521BD"/>
    <w:rsid w:val="00457505"/>
    <w:rsid w:val="00460897"/>
    <w:rsid w:val="00460EFC"/>
    <w:rsid w:val="00461F9C"/>
    <w:rsid w:val="0046493B"/>
    <w:rsid w:val="00464D54"/>
    <w:rsid w:val="00465587"/>
    <w:rsid w:val="00477455"/>
    <w:rsid w:val="00484E77"/>
    <w:rsid w:val="00485652"/>
    <w:rsid w:val="0049106A"/>
    <w:rsid w:val="004917D8"/>
    <w:rsid w:val="004A1AD4"/>
    <w:rsid w:val="004A1F7B"/>
    <w:rsid w:val="004A6C2F"/>
    <w:rsid w:val="004A7984"/>
    <w:rsid w:val="004B5949"/>
    <w:rsid w:val="004B6F07"/>
    <w:rsid w:val="004C44D2"/>
    <w:rsid w:val="004D3578"/>
    <w:rsid w:val="004D380D"/>
    <w:rsid w:val="004D60CE"/>
    <w:rsid w:val="004E1199"/>
    <w:rsid w:val="004E213A"/>
    <w:rsid w:val="004E5922"/>
    <w:rsid w:val="004E5B68"/>
    <w:rsid w:val="004E5F93"/>
    <w:rsid w:val="004F4540"/>
    <w:rsid w:val="004F73A7"/>
    <w:rsid w:val="0050266A"/>
    <w:rsid w:val="00503171"/>
    <w:rsid w:val="00506C28"/>
    <w:rsid w:val="00507E0D"/>
    <w:rsid w:val="005105F8"/>
    <w:rsid w:val="00514F04"/>
    <w:rsid w:val="00520402"/>
    <w:rsid w:val="00523397"/>
    <w:rsid w:val="00525DE1"/>
    <w:rsid w:val="005305D5"/>
    <w:rsid w:val="005306FA"/>
    <w:rsid w:val="00532FF4"/>
    <w:rsid w:val="00534DA0"/>
    <w:rsid w:val="00543E6C"/>
    <w:rsid w:val="00544D51"/>
    <w:rsid w:val="005517C4"/>
    <w:rsid w:val="00553700"/>
    <w:rsid w:val="00557094"/>
    <w:rsid w:val="00565087"/>
    <w:rsid w:val="0056573F"/>
    <w:rsid w:val="00567809"/>
    <w:rsid w:val="00567A23"/>
    <w:rsid w:val="005705A6"/>
    <w:rsid w:val="00571279"/>
    <w:rsid w:val="00587E47"/>
    <w:rsid w:val="005A13AB"/>
    <w:rsid w:val="005A49C6"/>
    <w:rsid w:val="005A54B4"/>
    <w:rsid w:val="005B3D35"/>
    <w:rsid w:val="005B4435"/>
    <w:rsid w:val="005C766E"/>
    <w:rsid w:val="005C7CD5"/>
    <w:rsid w:val="005D18AC"/>
    <w:rsid w:val="005D3706"/>
    <w:rsid w:val="005E28E9"/>
    <w:rsid w:val="005E6E63"/>
    <w:rsid w:val="005E7A23"/>
    <w:rsid w:val="005F219C"/>
    <w:rsid w:val="005F45D7"/>
    <w:rsid w:val="005F7DFB"/>
    <w:rsid w:val="0060163E"/>
    <w:rsid w:val="0060530E"/>
    <w:rsid w:val="00611566"/>
    <w:rsid w:val="00612D37"/>
    <w:rsid w:val="00613847"/>
    <w:rsid w:val="00641057"/>
    <w:rsid w:val="00646D99"/>
    <w:rsid w:val="006509A7"/>
    <w:rsid w:val="006524F1"/>
    <w:rsid w:val="0065358B"/>
    <w:rsid w:val="00655FDA"/>
    <w:rsid w:val="00656910"/>
    <w:rsid w:val="006574C0"/>
    <w:rsid w:val="00663C55"/>
    <w:rsid w:val="00670B02"/>
    <w:rsid w:val="006711A1"/>
    <w:rsid w:val="00673F2B"/>
    <w:rsid w:val="00675CEF"/>
    <w:rsid w:val="00677D5A"/>
    <w:rsid w:val="00677F61"/>
    <w:rsid w:val="00685354"/>
    <w:rsid w:val="00687866"/>
    <w:rsid w:val="00696821"/>
    <w:rsid w:val="006A67C3"/>
    <w:rsid w:val="006B3CAA"/>
    <w:rsid w:val="006B3E05"/>
    <w:rsid w:val="006B598E"/>
    <w:rsid w:val="006B7212"/>
    <w:rsid w:val="006C49D7"/>
    <w:rsid w:val="006C66D8"/>
    <w:rsid w:val="006D1E24"/>
    <w:rsid w:val="006D20C2"/>
    <w:rsid w:val="006D2506"/>
    <w:rsid w:val="006D35DE"/>
    <w:rsid w:val="006E1057"/>
    <w:rsid w:val="006E1417"/>
    <w:rsid w:val="006E1D0F"/>
    <w:rsid w:val="006E4DCA"/>
    <w:rsid w:val="006E7FAA"/>
    <w:rsid w:val="006F132A"/>
    <w:rsid w:val="006F2F9D"/>
    <w:rsid w:val="006F6215"/>
    <w:rsid w:val="006F6921"/>
    <w:rsid w:val="006F6A2C"/>
    <w:rsid w:val="007069DC"/>
    <w:rsid w:val="00707A15"/>
    <w:rsid w:val="00710201"/>
    <w:rsid w:val="007133E1"/>
    <w:rsid w:val="00720430"/>
    <w:rsid w:val="0072073A"/>
    <w:rsid w:val="007216F7"/>
    <w:rsid w:val="00725BC8"/>
    <w:rsid w:val="007342B5"/>
    <w:rsid w:val="00734A5B"/>
    <w:rsid w:val="00741069"/>
    <w:rsid w:val="007429D5"/>
    <w:rsid w:val="00744E76"/>
    <w:rsid w:val="00745EBB"/>
    <w:rsid w:val="00750E29"/>
    <w:rsid w:val="007518C1"/>
    <w:rsid w:val="007528AA"/>
    <w:rsid w:val="00754502"/>
    <w:rsid w:val="00756B08"/>
    <w:rsid w:val="00757D40"/>
    <w:rsid w:val="00760EDA"/>
    <w:rsid w:val="007614DB"/>
    <w:rsid w:val="007618B9"/>
    <w:rsid w:val="00765276"/>
    <w:rsid w:val="007662B5"/>
    <w:rsid w:val="007705C3"/>
    <w:rsid w:val="00771740"/>
    <w:rsid w:val="007755F8"/>
    <w:rsid w:val="00775730"/>
    <w:rsid w:val="007802F3"/>
    <w:rsid w:val="00781F0F"/>
    <w:rsid w:val="00782DC3"/>
    <w:rsid w:val="00783C1C"/>
    <w:rsid w:val="007840A4"/>
    <w:rsid w:val="007852EC"/>
    <w:rsid w:val="0078727C"/>
    <w:rsid w:val="0079049D"/>
    <w:rsid w:val="00791C97"/>
    <w:rsid w:val="00792568"/>
    <w:rsid w:val="00793DC5"/>
    <w:rsid w:val="00793E3D"/>
    <w:rsid w:val="00794947"/>
    <w:rsid w:val="00796823"/>
    <w:rsid w:val="007A2E55"/>
    <w:rsid w:val="007A7AD9"/>
    <w:rsid w:val="007A7CB9"/>
    <w:rsid w:val="007B18D8"/>
    <w:rsid w:val="007B54CA"/>
    <w:rsid w:val="007C095F"/>
    <w:rsid w:val="007C2DD0"/>
    <w:rsid w:val="007C4BE9"/>
    <w:rsid w:val="007E7811"/>
    <w:rsid w:val="007F0568"/>
    <w:rsid w:val="007F2E08"/>
    <w:rsid w:val="008024FA"/>
    <w:rsid w:val="008028A4"/>
    <w:rsid w:val="0080400F"/>
    <w:rsid w:val="008047E1"/>
    <w:rsid w:val="00807221"/>
    <w:rsid w:val="00811138"/>
    <w:rsid w:val="00813245"/>
    <w:rsid w:val="0081734B"/>
    <w:rsid w:val="00823B10"/>
    <w:rsid w:val="00840DE0"/>
    <w:rsid w:val="00844BED"/>
    <w:rsid w:val="00847CD0"/>
    <w:rsid w:val="00850491"/>
    <w:rsid w:val="00851E03"/>
    <w:rsid w:val="00856BD7"/>
    <w:rsid w:val="008573A1"/>
    <w:rsid w:val="008607A8"/>
    <w:rsid w:val="0086354A"/>
    <w:rsid w:val="008718B2"/>
    <w:rsid w:val="008722BC"/>
    <w:rsid w:val="00874B71"/>
    <w:rsid w:val="008768CA"/>
    <w:rsid w:val="00876ADE"/>
    <w:rsid w:val="00877EF9"/>
    <w:rsid w:val="00880559"/>
    <w:rsid w:val="00885285"/>
    <w:rsid w:val="008864CE"/>
    <w:rsid w:val="00886E9A"/>
    <w:rsid w:val="00890C73"/>
    <w:rsid w:val="00891025"/>
    <w:rsid w:val="00895DB5"/>
    <w:rsid w:val="008A1FE0"/>
    <w:rsid w:val="008A2E70"/>
    <w:rsid w:val="008A5247"/>
    <w:rsid w:val="008B0AFB"/>
    <w:rsid w:val="008B1AC6"/>
    <w:rsid w:val="008B5306"/>
    <w:rsid w:val="008B54E8"/>
    <w:rsid w:val="008C1577"/>
    <w:rsid w:val="008C2E2A"/>
    <w:rsid w:val="008C3057"/>
    <w:rsid w:val="008D2E4D"/>
    <w:rsid w:val="008E3E18"/>
    <w:rsid w:val="008E3EBB"/>
    <w:rsid w:val="008E5ACB"/>
    <w:rsid w:val="008F396F"/>
    <w:rsid w:val="008F3C88"/>
    <w:rsid w:val="008F3DCD"/>
    <w:rsid w:val="008F5D0B"/>
    <w:rsid w:val="008F7607"/>
    <w:rsid w:val="00902097"/>
    <w:rsid w:val="0090271F"/>
    <w:rsid w:val="00902DB9"/>
    <w:rsid w:val="0090466A"/>
    <w:rsid w:val="0090563B"/>
    <w:rsid w:val="00905E5A"/>
    <w:rsid w:val="009109B5"/>
    <w:rsid w:val="009113CD"/>
    <w:rsid w:val="0091219D"/>
    <w:rsid w:val="00915226"/>
    <w:rsid w:val="00920630"/>
    <w:rsid w:val="00920FE3"/>
    <w:rsid w:val="00921DD1"/>
    <w:rsid w:val="00923655"/>
    <w:rsid w:val="00932542"/>
    <w:rsid w:val="00932748"/>
    <w:rsid w:val="009339CB"/>
    <w:rsid w:val="00936071"/>
    <w:rsid w:val="009376CD"/>
    <w:rsid w:val="00940212"/>
    <w:rsid w:val="00940356"/>
    <w:rsid w:val="00942EC2"/>
    <w:rsid w:val="00943E05"/>
    <w:rsid w:val="0094463C"/>
    <w:rsid w:val="00953081"/>
    <w:rsid w:val="00953808"/>
    <w:rsid w:val="00961B32"/>
    <w:rsid w:val="00962509"/>
    <w:rsid w:val="009708A3"/>
    <w:rsid w:val="0097091F"/>
    <w:rsid w:val="00970DB3"/>
    <w:rsid w:val="009711C0"/>
    <w:rsid w:val="00974BB0"/>
    <w:rsid w:val="00975BCD"/>
    <w:rsid w:val="009818A2"/>
    <w:rsid w:val="00981923"/>
    <w:rsid w:val="009874C8"/>
    <w:rsid w:val="00987E4E"/>
    <w:rsid w:val="00990A0C"/>
    <w:rsid w:val="009928A9"/>
    <w:rsid w:val="00997A34"/>
    <w:rsid w:val="009A0AF3"/>
    <w:rsid w:val="009A2C4E"/>
    <w:rsid w:val="009B07CD"/>
    <w:rsid w:val="009B0EA2"/>
    <w:rsid w:val="009B37D5"/>
    <w:rsid w:val="009B4B0A"/>
    <w:rsid w:val="009B5822"/>
    <w:rsid w:val="009C19E9"/>
    <w:rsid w:val="009D6CA9"/>
    <w:rsid w:val="009D74A6"/>
    <w:rsid w:val="009E0E87"/>
    <w:rsid w:val="009E0F98"/>
    <w:rsid w:val="009F65D5"/>
    <w:rsid w:val="00A0409E"/>
    <w:rsid w:val="00A0456F"/>
    <w:rsid w:val="00A07B75"/>
    <w:rsid w:val="00A10F02"/>
    <w:rsid w:val="00A148ED"/>
    <w:rsid w:val="00A166FD"/>
    <w:rsid w:val="00A17176"/>
    <w:rsid w:val="00A204CA"/>
    <w:rsid w:val="00A209D6"/>
    <w:rsid w:val="00A22738"/>
    <w:rsid w:val="00A25642"/>
    <w:rsid w:val="00A26325"/>
    <w:rsid w:val="00A36F5F"/>
    <w:rsid w:val="00A370B8"/>
    <w:rsid w:val="00A40CB3"/>
    <w:rsid w:val="00A430EC"/>
    <w:rsid w:val="00A53724"/>
    <w:rsid w:val="00A54B2B"/>
    <w:rsid w:val="00A61662"/>
    <w:rsid w:val="00A703B6"/>
    <w:rsid w:val="00A71A5A"/>
    <w:rsid w:val="00A73888"/>
    <w:rsid w:val="00A82346"/>
    <w:rsid w:val="00A84D05"/>
    <w:rsid w:val="00A91216"/>
    <w:rsid w:val="00A9671C"/>
    <w:rsid w:val="00AA1553"/>
    <w:rsid w:val="00AA5E37"/>
    <w:rsid w:val="00AB3831"/>
    <w:rsid w:val="00AB5169"/>
    <w:rsid w:val="00AB5ECE"/>
    <w:rsid w:val="00AC27B4"/>
    <w:rsid w:val="00AC3B01"/>
    <w:rsid w:val="00AC662E"/>
    <w:rsid w:val="00AD0152"/>
    <w:rsid w:val="00AD264B"/>
    <w:rsid w:val="00AD7278"/>
    <w:rsid w:val="00B05380"/>
    <w:rsid w:val="00B05962"/>
    <w:rsid w:val="00B15449"/>
    <w:rsid w:val="00B16C2F"/>
    <w:rsid w:val="00B2141A"/>
    <w:rsid w:val="00B256DC"/>
    <w:rsid w:val="00B27303"/>
    <w:rsid w:val="00B32990"/>
    <w:rsid w:val="00B4087E"/>
    <w:rsid w:val="00B417FB"/>
    <w:rsid w:val="00B43596"/>
    <w:rsid w:val="00B47FD1"/>
    <w:rsid w:val="00B516BB"/>
    <w:rsid w:val="00B53181"/>
    <w:rsid w:val="00B5401B"/>
    <w:rsid w:val="00B6530D"/>
    <w:rsid w:val="00B7069B"/>
    <w:rsid w:val="00B74BFD"/>
    <w:rsid w:val="00B7538C"/>
    <w:rsid w:val="00B83FF8"/>
    <w:rsid w:val="00B84155"/>
    <w:rsid w:val="00B84DB2"/>
    <w:rsid w:val="00B856BB"/>
    <w:rsid w:val="00B95B2F"/>
    <w:rsid w:val="00B96867"/>
    <w:rsid w:val="00BC19E0"/>
    <w:rsid w:val="00BC3555"/>
    <w:rsid w:val="00BC5A82"/>
    <w:rsid w:val="00BC6304"/>
    <w:rsid w:val="00BC7423"/>
    <w:rsid w:val="00BD318A"/>
    <w:rsid w:val="00C01883"/>
    <w:rsid w:val="00C12B51"/>
    <w:rsid w:val="00C1349A"/>
    <w:rsid w:val="00C24650"/>
    <w:rsid w:val="00C25465"/>
    <w:rsid w:val="00C32DB4"/>
    <w:rsid w:val="00C33079"/>
    <w:rsid w:val="00C35F78"/>
    <w:rsid w:val="00C465D2"/>
    <w:rsid w:val="00C53237"/>
    <w:rsid w:val="00C55A12"/>
    <w:rsid w:val="00C6553E"/>
    <w:rsid w:val="00C7671D"/>
    <w:rsid w:val="00C83A13"/>
    <w:rsid w:val="00C86F10"/>
    <w:rsid w:val="00C9068C"/>
    <w:rsid w:val="00C92967"/>
    <w:rsid w:val="00CA00A5"/>
    <w:rsid w:val="00CA06E0"/>
    <w:rsid w:val="00CA3D0C"/>
    <w:rsid w:val="00CA5F51"/>
    <w:rsid w:val="00CA654B"/>
    <w:rsid w:val="00CB1F7D"/>
    <w:rsid w:val="00CB2241"/>
    <w:rsid w:val="00CB5110"/>
    <w:rsid w:val="00CB72B8"/>
    <w:rsid w:val="00CC001A"/>
    <w:rsid w:val="00CC4C34"/>
    <w:rsid w:val="00CD0BA8"/>
    <w:rsid w:val="00CD4C7B"/>
    <w:rsid w:val="00CD58FE"/>
    <w:rsid w:val="00CD6B92"/>
    <w:rsid w:val="00CE589B"/>
    <w:rsid w:val="00CE62CC"/>
    <w:rsid w:val="00CE6C63"/>
    <w:rsid w:val="00D060A2"/>
    <w:rsid w:val="00D07C24"/>
    <w:rsid w:val="00D102F6"/>
    <w:rsid w:val="00D12B4E"/>
    <w:rsid w:val="00D171B3"/>
    <w:rsid w:val="00D17FA9"/>
    <w:rsid w:val="00D24BF5"/>
    <w:rsid w:val="00D25329"/>
    <w:rsid w:val="00D33BE3"/>
    <w:rsid w:val="00D35DAE"/>
    <w:rsid w:val="00D37823"/>
    <w:rsid w:val="00D3792D"/>
    <w:rsid w:val="00D412B8"/>
    <w:rsid w:val="00D54820"/>
    <w:rsid w:val="00D55E47"/>
    <w:rsid w:val="00D62E19"/>
    <w:rsid w:val="00D64391"/>
    <w:rsid w:val="00D65170"/>
    <w:rsid w:val="00D67CD1"/>
    <w:rsid w:val="00D738D6"/>
    <w:rsid w:val="00D74156"/>
    <w:rsid w:val="00D764AE"/>
    <w:rsid w:val="00D77A29"/>
    <w:rsid w:val="00D80795"/>
    <w:rsid w:val="00D80A08"/>
    <w:rsid w:val="00D832E6"/>
    <w:rsid w:val="00D84A95"/>
    <w:rsid w:val="00D854BE"/>
    <w:rsid w:val="00D873E3"/>
    <w:rsid w:val="00D87E00"/>
    <w:rsid w:val="00D900EC"/>
    <w:rsid w:val="00D9134D"/>
    <w:rsid w:val="00D92AFC"/>
    <w:rsid w:val="00D96D11"/>
    <w:rsid w:val="00D96D7E"/>
    <w:rsid w:val="00DA3943"/>
    <w:rsid w:val="00DA7A03"/>
    <w:rsid w:val="00DB0DB8"/>
    <w:rsid w:val="00DB1818"/>
    <w:rsid w:val="00DB3C05"/>
    <w:rsid w:val="00DB7582"/>
    <w:rsid w:val="00DC309B"/>
    <w:rsid w:val="00DC4DA2"/>
    <w:rsid w:val="00DC5261"/>
    <w:rsid w:val="00DD4FF4"/>
    <w:rsid w:val="00DE0D70"/>
    <w:rsid w:val="00DE25D2"/>
    <w:rsid w:val="00DF7C20"/>
    <w:rsid w:val="00DF7F90"/>
    <w:rsid w:val="00E038FB"/>
    <w:rsid w:val="00E07C1B"/>
    <w:rsid w:val="00E10B74"/>
    <w:rsid w:val="00E13D50"/>
    <w:rsid w:val="00E1602C"/>
    <w:rsid w:val="00E21B4A"/>
    <w:rsid w:val="00E42F0F"/>
    <w:rsid w:val="00E4325C"/>
    <w:rsid w:val="00E46C08"/>
    <w:rsid w:val="00E471CF"/>
    <w:rsid w:val="00E509D5"/>
    <w:rsid w:val="00E53183"/>
    <w:rsid w:val="00E61407"/>
    <w:rsid w:val="00E62356"/>
    <w:rsid w:val="00E62835"/>
    <w:rsid w:val="00E6480E"/>
    <w:rsid w:val="00E7025E"/>
    <w:rsid w:val="00E704F3"/>
    <w:rsid w:val="00E77645"/>
    <w:rsid w:val="00E83697"/>
    <w:rsid w:val="00E84F9A"/>
    <w:rsid w:val="00E859B6"/>
    <w:rsid w:val="00E8775B"/>
    <w:rsid w:val="00E9015E"/>
    <w:rsid w:val="00E9134B"/>
    <w:rsid w:val="00E975ED"/>
    <w:rsid w:val="00EA2C04"/>
    <w:rsid w:val="00EA66C9"/>
    <w:rsid w:val="00EA7EC8"/>
    <w:rsid w:val="00EB3C04"/>
    <w:rsid w:val="00EB5D32"/>
    <w:rsid w:val="00EC0692"/>
    <w:rsid w:val="00EC4A25"/>
    <w:rsid w:val="00ED04D9"/>
    <w:rsid w:val="00ED4E14"/>
    <w:rsid w:val="00ED6181"/>
    <w:rsid w:val="00EF0E9C"/>
    <w:rsid w:val="00EF3206"/>
    <w:rsid w:val="00EF5544"/>
    <w:rsid w:val="00EF563D"/>
    <w:rsid w:val="00EF612C"/>
    <w:rsid w:val="00F01CB7"/>
    <w:rsid w:val="00F025A2"/>
    <w:rsid w:val="00F029F8"/>
    <w:rsid w:val="00F036E9"/>
    <w:rsid w:val="00F07388"/>
    <w:rsid w:val="00F2026E"/>
    <w:rsid w:val="00F2210A"/>
    <w:rsid w:val="00F26D64"/>
    <w:rsid w:val="00F31372"/>
    <w:rsid w:val="00F36C27"/>
    <w:rsid w:val="00F37743"/>
    <w:rsid w:val="00F37C16"/>
    <w:rsid w:val="00F40BA4"/>
    <w:rsid w:val="00F54895"/>
    <w:rsid w:val="00F54A3D"/>
    <w:rsid w:val="00F54CB0"/>
    <w:rsid w:val="00F5761A"/>
    <w:rsid w:val="00F57809"/>
    <w:rsid w:val="00F579CD"/>
    <w:rsid w:val="00F611AA"/>
    <w:rsid w:val="00F653B8"/>
    <w:rsid w:val="00F66452"/>
    <w:rsid w:val="00F66FFA"/>
    <w:rsid w:val="00F71B89"/>
    <w:rsid w:val="00F7353C"/>
    <w:rsid w:val="00F7454B"/>
    <w:rsid w:val="00F76F8F"/>
    <w:rsid w:val="00F83C8D"/>
    <w:rsid w:val="00F8612B"/>
    <w:rsid w:val="00F87257"/>
    <w:rsid w:val="00F90998"/>
    <w:rsid w:val="00F941DF"/>
    <w:rsid w:val="00FA1266"/>
    <w:rsid w:val="00FA320F"/>
    <w:rsid w:val="00FA7907"/>
    <w:rsid w:val="00FB36FA"/>
    <w:rsid w:val="00FB62ED"/>
    <w:rsid w:val="00FC0F89"/>
    <w:rsid w:val="00FC1192"/>
    <w:rsid w:val="00FC1B2F"/>
    <w:rsid w:val="00FD1D1A"/>
    <w:rsid w:val="00FE106D"/>
    <w:rsid w:val="00FE251B"/>
    <w:rsid w:val="00FE3F6D"/>
    <w:rsid w:val="110AD694"/>
    <w:rsid w:val="13B69355"/>
    <w:rsid w:val="16845CE7"/>
    <w:rsid w:val="2543211B"/>
    <w:rsid w:val="289192C7"/>
    <w:rsid w:val="54564F13"/>
    <w:rsid w:val="72567D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637D454-28DD-489F-ABA1-55AF4CAAF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table" w:styleId="TableGrid">
    <w:name w:val="Table Grid"/>
    <w:basedOn w:val="TableNormal"/>
    <w:rsid w:val="00CA5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A5F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5F51"/>
    <w:rPr>
      <w:rFonts w:ascii="Arial" w:eastAsia="MS Mincho" w:hAnsi="Arial"/>
      <w:szCs w:val="24"/>
    </w:rPr>
  </w:style>
  <w:style w:type="paragraph" w:customStyle="1" w:styleId="Agreement">
    <w:name w:val="Agreement"/>
    <w:basedOn w:val="Normal"/>
    <w:next w:val="Doc-text2"/>
    <w:uiPriority w:val="99"/>
    <w:qFormat/>
    <w:rsid w:val="00CA5F51"/>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F36C27"/>
    <w:pPr>
      <w:ind w:left="720"/>
      <w:contextualSpacing/>
    </w:pPr>
  </w:style>
  <w:style w:type="paragraph" w:styleId="Revision">
    <w:name w:val="Revision"/>
    <w:hidden/>
    <w:uiPriority w:val="99"/>
    <w:semiHidden/>
    <w:rsid w:val="0046493B"/>
    <w:rPr>
      <w:lang w:eastAsia="en-US"/>
    </w:rPr>
  </w:style>
  <w:style w:type="paragraph" w:styleId="CommentSubject">
    <w:name w:val="annotation subject"/>
    <w:basedOn w:val="CommentText"/>
    <w:next w:val="CommentText"/>
    <w:link w:val="CommentSubjectChar"/>
    <w:rsid w:val="009E0F98"/>
    <w:rPr>
      <w:b/>
      <w:bCs/>
    </w:rPr>
  </w:style>
  <w:style w:type="character" w:customStyle="1" w:styleId="CommentSubjectChar">
    <w:name w:val="Comment Subject Char"/>
    <w:basedOn w:val="CommentTextChar"/>
    <w:link w:val="CommentSubject"/>
    <w:rsid w:val="009E0F98"/>
    <w:rPr>
      <w:b/>
      <w:bCs/>
      <w:lang w:eastAsia="en-US"/>
    </w:rPr>
  </w:style>
  <w:style w:type="character" w:styleId="Mention">
    <w:name w:val="Mention"/>
    <w:basedOn w:val="DefaultParagraphFont"/>
    <w:uiPriority w:val="99"/>
    <w:unhideWhenUsed/>
    <w:rsid w:val="004E5F93"/>
    <w:rPr>
      <w:color w:val="2B579A"/>
      <w:shd w:val="clear" w:color="auto" w:fill="E1DFDD"/>
    </w:rPr>
  </w:style>
  <w:style w:type="paragraph" w:styleId="Caption">
    <w:name w:val="caption"/>
    <w:basedOn w:val="Normal"/>
    <w:next w:val="Normal"/>
    <w:unhideWhenUsed/>
    <w:qFormat/>
    <w:rsid w:val="007F056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98335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5AIRPNAIUNRU-859666464-14213</_dlc_DocId>
    <_dlc_DocIdUrl xmlns="71c5aaf6-e6ce-465b-b873-5148d2a4c105">
      <Url>https://nokia.sharepoint.com/sites/c5g/e2earch/_layouts/15/DocIdRedir.aspx?ID=5AIRPNAIUNRU-859666464-14213</Url>
      <Description>5AIRPNAIUNRU-859666464-14213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purl.org/dc/terms/"/>
    <ds:schemaRef ds:uri="71c5aaf6-e6ce-465b-b873-5148d2a4c105"/>
    <ds:schemaRef ds:uri="http://purl.org/dc/elements/1.1/"/>
    <ds:schemaRef ds:uri="83f22d2f-d16e-4be6-ad4f-29fa0b067c3c"/>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a3840f4f-04be-43d1-b2ef-6ff1382503c7"/>
    <ds:schemaRef ds:uri="http://schemas.openxmlformats.org/package/2006/metadata/core-properties"/>
    <ds:schemaRef ds:uri="3b34c8f0-1ef5-4d1e-bb66-517ce7fe7356"/>
    <ds:schemaRef ds:uri="http://purl.org/dc/dcmitype/"/>
  </ds:schemaRefs>
</ds:datastoreItem>
</file>

<file path=customXml/itemProps5.xml><?xml version="1.0" encoding="utf-8"?>
<ds:datastoreItem xmlns:ds="http://schemas.openxmlformats.org/officeDocument/2006/customXml" ds:itemID="{F23B1E89-F06B-4EF0-BA96-290BF239608C}">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1993</Words>
  <Characters>11365</Characters>
  <Application>Microsoft Office Word</Application>
  <DocSecurity>4</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122</cp:revision>
  <dcterms:created xsi:type="dcterms:W3CDTF">2023-05-08T02:47:00Z</dcterms:created>
  <dcterms:modified xsi:type="dcterms:W3CDTF">2023-05-12T16:15:00Z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d12e49ed-8a7d-4786-8311-b313f824312c</vt:lpwstr>
  </property>
  <property fmtid="{D5CDD505-2E9C-101B-9397-08002B2CF9AE}" pid="4" name="GrammarlyDocumentId">
    <vt:lpwstr>016632082df9dc41072e24cf5963de530710eadfa63c1a72aa6748c9dbd79111</vt:lpwstr>
  </property>
</Properties>
</file>